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426" w:type="dxa"/>
        <w:tblLook w:val="01E0" w:firstRow="1" w:lastRow="1" w:firstColumn="1" w:lastColumn="1" w:noHBand="0" w:noVBand="0"/>
      </w:tblPr>
      <w:tblGrid>
        <w:gridCol w:w="3545"/>
        <w:gridCol w:w="6095"/>
      </w:tblGrid>
      <w:tr w:rsidR="00305581" w:rsidRPr="00305581" w:rsidTr="005A5DE5">
        <w:trPr>
          <w:trHeight w:val="851"/>
        </w:trPr>
        <w:tc>
          <w:tcPr>
            <w:tcW w:w="3545" w:type="dxa"/>
          </w:tcPr>
          <w:p w:rsidR="00BC2D3B" w:rsidRPr="00305581" w:rsidRDefault="00BC2D3B" w:rsidP="00BC2D3B">
            <w:pPr>
              <w:jc w:val="center"/>
              <w:rPr>
                <w:color w:val="auto"/>
                <w:sz w:val="26"/>
                <w:szCs w:val="26"/>
              </w:rPr>
            </w:pPr>
            <w:bookmarkStart w:id="0" w:name="_GoBack"/>
            <w:bookmarkEnd w:id="0"/>
            <w:r w:rsidRPr="00305581">
              <w:rPr>
                <w:b/>
                <w:color w:val="auto"/>
              </w:rPr>
              <w:br w:type="page"/>
            </w:r>
            <w:r w:rsidRPr="00305581">
              <w:rPr>
                <w:color w:val="auto"/>
                <w:sz w:val="26"/>
                <w:szCs w:val="26"/>
              </w:rPr>
              <w:t xml:space="preserve">UBND TỈNH </w:t>
            </w:r>
            <w:r w:rsidR="005A5DE5" w:rsidRPr="00305581">
              <w:rPr>
                <w:color w:val="auto"/>
                <w:sz w:val="26"/>
                <w:szCs w:val="26"/>
              </w:rPr>
              <w:t>THÁI NGUYÊN</w:t>
            </w:r>
          </w:p>
          <w:p w:rsidR="00BC2D3B" w:rsidRPr="00305581" w:rsidRDefault="00CA7E6B" w:rsidP="00F725C0">
            <w:pPr>
              <w:tabs>
                <w:tab w:val="left" w:pos="132"/>
              </w:tabs>
              <w:jc w:val="center"/>
              <w:rPr>
                <w:b/>
                <w:color w:val="auto"/>
                <w:sz w:val="26"/>
                <w:szCs w:val="26"/>
              </w:rPr>
            </w:pPr>
            <w:r w:rsidRPr="00305581">
              <w:rPr>
                <w:noProof/>
                <w:color w:val="auto"/>
                <w:sz w:val="26"/>
                <w:szCs w:val="26"/>
                <w:lang w:val="vi-VN" w:eastAsia="vi-VN"/>
              </w:rPr>
              <mc:AlternateContent>
                <mc:Choice Requires="wps">
                  <w:drawing>
                    <wp:anchor distT="4294967293" distB="4294967293" distL="114300" distR="114300" simplePos="0" relativeHeight="251657728" behindDoc="0" locked="0" layoutInCell="1" allowOverlap="1" wp14:anchorId="3F6895B9" wp14:editId="2A44B266">
                      <wp:simplePos x="0" y="0"/>
                      <wp:positionH relativeFrom="column">
                        <wp:posOffset>807085</wp:posOffset>
                      </wp:positionH>
                      <wp:positionV relativeFrom="paragraph">
                        <wp:posOffset>201930</wp:posOffset>
                      </wp:positionV>
                      <wp:extent cx="43497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4534BE2"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55pt,15.9pt" to="97.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C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"/>
                  </w:pict>
                </mc:Fallback>
              </mc:AlternateContent>
            </w:r>
            <w:r w:rsidR="00BC2D3B" w:rsidRPr="00305581">
              <w:rPr>
                <w:b/>
                <w:color w:val="auto"/>
                <w:sz w:val="26"/>
                <w:szCs w:val="26"/>
              </w:rPr>
              <w:t xml:space="preserve">SỞ </w:t>
            </w:r>
            <w:r w:rsidR="00241AB9" w:rsidRPr="00305581">
              <w:rPr>
                <w:b/>
                <w:color w:val="auto"/>
                <w:sz w:val="26"/>
                <w:szCs w:val="26"/>
              </w:rPr>
              <w:t>NỘI VỤ</w:t>
            </w:r>
          </w:p>
        </w:tc>
        <w:tc>
          <w:tcPr>
            <w:tcW w:w="6095" w:type="dxa"/>
          </w:tcPr>
          <w:p w:rsidR="00BC2D3B" w:rsidRPr="00305581" w:rsidRDefault="00BC2D3B" w:rsidP="00241AB9">
            <w:pPr>
              <w:jc w:val="center"/>
              <w:rPr>
                <w:b/>
                <w:color w:val="auto"/>
                <w:sz w:val="26"/>
              </w:rPr>
            </w:pPr>
            <w:r w:rsidRPr="00305581">
              <w:rPr>
                <w:b/>
                <w:color w:val="auto"/>
                <w:sz w:val="26"/>
              </w:rPr>
              <w:t>CỘNG HÒA XÃ HỘI CHỦ NGHĨA VIỆT NAM</w:t>
            </w:r>
          </w:p>
          <w:p w:rsidR="00BC2D3B" w:rsidRPr="00305581" w:rsidRDefault="00CA7E6B" w:rsidP="00BC2D3B">
            <w:pPr>
              <w:rPr>
                <w:b/>
                <w:color w:val="auto"/>
              </w:rPr>
            </w:pPr>
            <w:r w:rsidRPr="00305581">
              <w:rPr>
                <w:noProof/>
                <w:color w:val="auto"/>
                <w:lang w:val="vi-VN" w:eastAsia="vi-VN"/>
              </w:rPr>
              <mc:AlternateContent>
                <mc:Choice Requires="wps">
                  <w:drawing>
                    <wp:anchor distT="4294967294" distB="4294967294" distL="114300" distR="114300" simplePos="0" relativeHeight="251656704" behindDoc="0" locked="0" layoutInCell="1" allowOverlap="1" wp14:anchorId="7B8BDAC9" wp14:editId="3F5553C5">
                      <wp:simplePos x="0" y="0"/>
                      <wp:positionH relativeFrom="column">
                        <wp:posOffset>847725</wp:posOffset>
                      </wp:positionH>
                      <wp:positionV relativeFrom="paragraph">
                        <wp:posOffset>235585</wp:posOffset>
                      </wp:positionV>
                      <wp:extent cx="2095500" cy="0"/>
                      <wp:effectExtent l="9525" t="12065" r="9525" b="698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0C72D5"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75pt,18.55pt" to="231.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"/>
                  </w:pict>
                </mc:Fallback>
              </mc:AlternateContent>
            </w:r>
            <w:r w:rsidR="00BC2D3B" w:rsidRPr="00305581">
              <w:rPr>
                <w:b/>
                <w:color w:val="auto"/>
              </w:rPr>
              <w:t xml:space="preserve">                   Độc lập- Tự do- Hạnh phúc</w:t>
            </w:r>
            <w:r w:rsidR="00BC2D3B" w:rsidRPr="00305581">
              <w:rPr>
                <w:i/>
                <w:color w:val="auto"/>
              </w:rPr>
              <w:t xml:space="preserve">      </w:t>
            </w:r>
          </w:p>
        </w:tc>
      </w:tr>
      <w:tr w:rsidR="00305581" w:rsidRPr="00EC770B" w:rsidTr="005A5DE5">
        <w:trPr>
          <w:trHeight w:val="380"/>
        </w:trPr>
        <w:tc>
          <w:tcPr>
            <w:tcW w:w="3545" w:type="dxa"/>
          </w:tcPr>
          <w:p w:rsidR="00F95D0B" w:rsidRPr="00305581" w:rsidRDefault="008150BA" w:rsidP="00F6317E">
            <w:pPr>
              <w:jc w:val="center"/>
              <w:rPr>
                <w:b/>
                <w:color w:val="auto"/>
                <w:lang w:val="vi-VN"/>
              </w:rPr>
            </w:pPr>
            <w:r w:rsidRPr="00305581">
              <w:rPr>
                <w:color w:val="auto"/>
              </w:rPr>
              <w:t xml:space="preserve">Số:     </w:t>
            </w:r>
            <w:r w:rsidR="005A74C7">
              <w:rPr>
                <w:color w:val="auto"/>
              </w:rPr>
              <w:t xml:space="preserve">  </w:t>
            </w:r>
            <w:r w:rsidRPr="00305581">
              <w:rPr>
                <w:color w:val="auto"/>
                <w:lang w:val="vi-VN"/>
              </w:rPr>
              <w:t xml:space="preserve">   </w:t>
            </w:r>
            <w:r w:rsidRPr="00305581">
              <w:rPr>
                <w:color w:val="auto"/>
              </w:rPr>
              <w:t xml:space="preserve"> /BC-SNV</w:t>
            </w:r>
          </w:p>
        </w:tc>
        <w:tc>
          <w:tcPr>
            <w:tcW w:w="6095" w:type="dxa"/>
          </w:tcPr>
          <w:p w:rsidR="008150BA" w:rsidRPr="00305581" w:rsidRDefault="005A5DE5" w:rsidP="008F67F2">
            <w:pPr>
              <w:jc w:val="center"/>
              <w:rPr>
                <w:color w:val="auto"/>
                <w:lang w:val="vi-VN"/>
              </w:rPr>
            </w:pPr>
            <w:r w:rsidRPr="00305581">
              <w:rPr>
                <w:i/>
                <w:color w:val="auto"/>
                <w:lang w:val="vi-VN"/>
              </w:rPr>
              <w:t>Thái Nguyên</w:t>
            </w:r>
            <w:r w:rsidR="008150BA" w:rsidRPr="00305581">
              <w:rPr>
                <w:i/>
                <w:color w:val="auto"/>
                <w:lang w:val="vi-VN"/>
              </w:rPr>
              <w:t xml:space="preserve">, ngày </w:t>
            </w:r>
            <w:r w:rsidR="00F95D0B" w:rsidRPr="00305581">
              <w:rPr>
                <w:i/>
                <w:color w:val="auto"/>
                <w:lang w:val="vi-VN"/>
              </w:rPr>
              <w:t xml:space="preserve"> </w:t>
            </w:r>
            <w:r w:rsidR="00750EAD" w:rsidRPr="00305581">
              <w:rPr>
                <w:i/>
                <w:color w:val="auto"/>
                <w:lang w:val="vi-VN"/>
              </w:rPr>
              <w:t xml:space="preserve"> </w:t>
            </w:r>
            <w:r w:rsidR="008150BA" w:rsidRPr="00305581">
              <w:rPr>
                <w:i/>
                <w:color w:val="auto"/>
                <w:lang w:val="vi-VN"/>
              </w:rPr>
              <w:t xml:space="preserve">   tháng </w:t>
            </w:r>
            <w:r w:rsidR="008F67F2" w:rsidRPr="008F67F2">
              <w:rPr>
                <w:i/>
                <w:color w:val="auto"/>
                <w:lang w:val="vi-VN"/>
              </w:rPr>
              <w:t xml:space="preserve">   </w:t>
            </w:r>
            <w:r w:rsidR="008150BA" w:rsidRPr="00305581">
              <w:rPr>
                <w:i/>
                <w:color w:val="auto"/>
                <w:lang w:val="vi-VN"/>
              </w:rPr>
              <w:t xml:space="preserve"> năm 202</w:t>
            </w:r>
            <w:r w:rsidRPr="00305581">
              <w:rPr>
                <w:i/>
                <w:color w:val="auto"/>
                <w:lang w:val="vi-VN"/>
              </w:rPr>
              <w:t>6</w:t>
            </w:r>
          </w:p>
        </w:tc>
      </w:tr>
    </w:tbl>
    <w:p w:rsidR="00992472" w:rsidRPr="00305581" w:rsidRDefault="001919E0" w:rsidP="008150BA">
      <w:pPr>
        <w:rPr>
          <w:color w:val="auto"/>
          <w:sz w:val="22"/>
          <w:lang w:val="vi-VN"/>
        </w:rPr>
      </w:pPr>
      <w:r w:rsidRPr="00305581">
        <w:rPr>
          <w:color w:val="auto"/>
          <w:lang w:val="vi-VN"/>
        </w:rPr>
        <w:t xml:space="preserve">   </w:t>
      </w:r>
      <w:r w:rsidR="00A20F61" w:rsidRPr="00305581">
        <w:rPr>
          <w:color w:val="auto"/>
          <w:lang w:val="vi-VN"/>
        </w:rPr>
        <w:t xml:space="preserve">  </w:t>
      </w:r>
      <w:r w:rsidR="00BE68F6" w:rsidRPr="00305581">
        <w:rPr>
          <w:color w:val="auto"/>
          <w:lang w:val="vi-VN"/>
        </w:rPr>
        <w:t xml:space="preserve"> </w:t>
      </w:r>
      <w:r w:rsidR="00F958BE" w:rsidRPr="00305581">
        <w:rPr>
          <w:color w:val="auto"/>
          <w:lang w:val="vi-VN"/>
        </w:rPr>
        <w:t xml:space="preserve"> </w:t>
      </w:r>
      <w:r w:rsidR="00BE68F6" w:rsidRPr="00305581">
        <w:rPr>
          <w:color w:val="auto"/>
          <w:lang w:val="vi-VN"/>
        </w:rPr>
        <w:t xml:space="preserve"> </w:t>
      </w:r>
      <w:r w:rsidR="00BC3C6D" w:rsidRPr="00305581">
        <w:rPr>
          <w:color w:val="auto"/>
          <w:lang w:val="vi-VN"/>
        </w:rPr>
        <w:tab/>
      </w:r>
    </w:p>
    <w:p w:rsidR="00BC2D3B" w:rsidRPr="00305581" w:rsidRDefault="00BC2D3B" w:rsidP="00E419F6">
      <w:pPr>
        <w:jc w:val="center"/>
        <w:rPr>
          <w:b/>
          <w:color w:val="auto"/>
          <w:lang w:val="vi-VN"/>
        </w:rPr>
      </w:pPr>
      <w:r w:rsidRPr="00305581">
        <w:rPr>
          <w:b/>
          <w:color w:val="auto"/>
          <w:lang w:val="vi-VN"/>
        </w:rPr>
        <w:t>BÁO CÁO</w:t>
      </w:r>
    </w:p>
    <w:p w:rsidR="001F7926" w:rsidRPr="00305581" w:rsidRDefault="00B07EDC" w:rsidP="00EF6C25">
      <w:pPr>
        <w:tabs>
          <w:tab w:val="right" w:leader="dot" w:pos="8640"/>
        </w:tabs>
        <w:jc w:val="center"/>
        <w:rPr>
          <w:b/>
          <w:color w:val="auto"/>
          <w:lang w:val="vi-VN"/>
        </w:rPr>
      </w:pPr>
      <w:r w:rsidRPr="00305581">
        <w:rPr>
          <w:b/>
          <w:color w:val="auto"/>
          <w:lang w:val="vi-VN"/>
        </w:rPr>
        <w:t>Đánh giá t</w:t>
      </w:r>
      <w:r w:rsidR="0008774C" w:rsidRPr="00305581">
        <w:rPr>
          <w:b/>
          <w:color w:val="auto"/>
          <w:lang w:val="vi-VN"/>
        </w:rPr>
        <w:t>hực trạng</w:t>
      </w:r>
      <w:r w:rsidR="000515E6" w:rsidRPr="00305581">
        <w:rPr>
          <w:b/>
          <w:color w:val="auto"/>
          <w:lang w:val="vi-VN"/>
        </w:rPr>
        <w:t xml:space="preserve"> thực hiện chính sách</w:t>
      </w:r>
      <w:r w:rsidR="00EF6C25" w:rsidRPr="00305581">
        <w:rPr>
          <w:b/>
          <w:color w:val="auto"/>
          <w:lang w:val="vi-VN"/>
        </w:rPr>
        <w:t xml:space="preserve"> có liên quan đến dự thảo </w:t>
      </w:r>
    </w:p>
    <w:p w:rsidR="00041FB6" w:rsidRPr="00305581" w:rsidRDefault="00EF6C25" w:rsidP="00EF6C25">
      <w:pPr>
        <w:tabs>
          <w:tab w:val="right" w:leader="dot" w:pos="8640"/>
        </w:tabs>
        <w:jc w:val="center"/>
        <w:rPr>
          <w:b/>
          <w:color w:val="auto"/>
          <w:lang w:val="vi-VN"/>
        </w:rPr>
      </w:pPr>
      <w:r w:rsidRPr="00305581">
        <w:rPr>
          <w:b/>
          <w:color w:val="auto"/>
          <w:lang w:val="vi-VN"/>
        </w:rPr>
        <w:t xml:space="preserve">Nghị quyết của </w:t>
      </w:r>
      <w:r w:rsidR="000515E6" w:rsidRPr="00305581">
        <w:rPr>
          <w:b/>
          <w:color w:val="auto"/>
          <w:lang w:val="vi-VN"/>
        </w:rPr>
        <w:t>Hội đồng nhân dân</w:t>
      </w:r>
      <w:r w:rsidRPr="00305581">
        <w:rPr>
          <w:b/>
          <w:color w:val="auto"/>
          <w:lang w:val="vi-VN"/>
        </w:rPr>
        <w:t xml:space="preserve"> tỉnh quy định mức hỗ trợ tiền đóng</w:t>
      </w:r>
    </w:p>
    <w:p w:rsidR="00041FB6" w:rsidRPr="00305581" w:rsidRDefault="00EF6C25" w:rsidP="00EF6C25">
      <w:pPr>
        <w:tabs>
          <w:tab w:val="right" w:leader="dot" w:pos="8640"/>
        </w:tabs>
        <w:jc w:val="center"/>
        <w:rPr>
          <w:b/>
          <w:color w:val="auto"/>
          <w:lang w:val="vi-VN"/>
        </w:rPr>
      </w:pPr>
      <w:r w:rsidRPr="00305581">
        <w:rPr>
          <w:b/>
          <w:color w:val="auto"/>
          <w:lang w:val="vi-VN"/>
        </w:rPr>
        <w:t xml:space="preserve"> bảo hiểm xã hộ</w:t>
      </w:r>
      <w:r w:rsidR="00311102" w:rsidRPr="00305581">
        <w:rPr>
          <w:b/>
          <w:color w:val="auto"/>
          <w:lang w:val="vi-VN"/>
        </w:rPr>
        <w:t xml:space="preserve">i </w:t>
      </w:r>
      <w:r w:rsidR="00B67EA7" w:rsidRPr="00305581">
        <w:rPr>
          <w:b/>
          <w:color w:val="auto"/>
          <w:lang w:val="vi-VN"/>
        </w:rPr>
        <w:t>cho</w:t>
      </w:r>
      <w:r w:rsidRPr="00305581">
        <w:rPr>
          <w:b/>
          <w:color w:val="auto"/>
          <w:lang w:val="vi-VN"/>
        </w:rPr>
        <w:t xml:space="preserve"> người tham gia bảo hiểm xã hội tự nguyện</w:t>
      </w:r>
      <w:r w:rsidR="00E4127A" w:rsidRPr="00305581">
        <w:rPr>
          <w:b/>
          <w:color w:val="auto"/>
          <w:lang w:val="vi-VN"/>
        </w:rPr>
        <w:t xml:space="preserve"> </w:t>
      </w:r>
    </w:p>
    <w:p w:rsidR="00DD484D" w:rsidRPr="00305581" w:rsidRDefault="00E4127A" w:rsidP="00041FB6">
      <w:pPr>
        <w:tabs>
          <w:tab w:val="right" w:leader="dot" w:pos="8640"/>
        </w:tabs>
        <w:jc w:val="center"/>
        <w:rPr>
          <w:b/>
          <w:color w:val="auto"/>
          <w:lang w:val="vi-VN"/>
        </w:rPr>
      </w:pPr>
      <w:r w:rsidRPr="00305581">
        <w:rPr>
          <w:b/>
          <w:color w:val="auto"/>
          <w:lang w:val="vi-VN"/>
        </w:rPr>
        <w:t>giai đoạn 202</w:t>
      </w:r>
      <w:r w:rsidR="00F83644" w:rsidRPr="00305581">
        <w:rPr>
          <w:b/>
          <w:color w:val="auto"/>
          <w:lang w:val="vi-VN"/>
        </w:rPr>
        <w:t>6</w:t>
      </w:r>
      <w:r w:rsidRPr="00305581">
        <w:rPr>
          <w:b/>
          <w:color w:val="auto"/>
          <w:lang w:val="vi-VN"/>
        </w:rPr>
        <w:t>-2030 trên địa bàn tỉ</w:t>
      </w:r>
      <w:r w:rsidR="005A5DE5" w:rsidRPr="00305581">
        <w:rPr>
          <w:b/>
          <w:color w:val="auto"/>
          <w:lang w:val="vi-VN"/>
        </w:rPr>
        <w:t>nh Thái Nguyên</w:t>
      </w:r>
    </w:p>
    <w:p w:rsidR="000576EB" w:rsidRPr="00305581" w:rsidRDefault="00CA7E6B" w:rsidP="00DD484D">
      <w:pPr>
        <w:jc w:val="both"/>
        <w:rPr>
          <w:color w:val="auto"/>
          <w:sz w:val="14"/>
          <w:lang w:val="de-DE"/>
        </w:rPr>
      </w:pPr>
      <w:r w:rsidRPr="00305581">
        <w:rPr>
          <w:b/>
          <w:noProof/>
          <w:color w:val="auto"/>
          <w:lang w:val="vi-VN" w:eastAsia="vi-VN"/>
        </w:rPr>
        <mc:AlternateContent>
          <mc:Choice Requires="wps">
            <w:drawing>
              <wp:anchor distT="0" distB="0" distL="114300" distR="114300" simplePos="0" relativeHeight="251658752" behindDoc="0" locked="0" layoutInCell="1" allowOverlap="1" wp14:anchorId="56BE8768" wp14:editId="665D7346">
                <wp:simplePos x="0" y="0"/>
                <wp:positionH relativeFrom="column">
                  <wp:posOffset>2124075</wp:posOffset>
                </wp:positionH>
                <wp:positionV relativeFrom="paragraph">
                  <wp:posOffset>41275</wp:posOffset>
                </wp:positionV>
                <wp:extent cx="1438275" cy="0"/>
                <wp:effectExtent l="13335" t="11430" r="5715" b="76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9949BA3"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3.25pt" to="28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Mz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56ExvXAEBldraUBs9qVfzrOl3h5SuWqL2PDJ8OxtIy0JG8i4lbJwB/F3/RTOIIQevY5tO&#10;je0CJDQAnaIa55sa/OQRhcMsf5hPHqc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"/>
            </w:pict>
          </mc:Fallback>
        </mc:AlternateContent>
      </w:r>
      <w:r w:rsidR="00A91305" w:rsidRPr="00305581">
        <w:rPr>
          <w:color w:val="auto"/>
          <w:sz w:val="14"/>
          <w:lang w:val="de-DE"/>
        </w:rPr>
        <w:tab/>
      </w:r>
      <w:r w:rsidR="00A91305" w:rsidRPr="00305581">
        <w:rPr>
          <w:color w:val="auto"/>
          <w:sz w:val="14"/>
          <w:lang w:val="de-DE"/>
        </w:rPr>
        <w:tab/>
      </w:r>
    </w:p>
    <w:p w:rsidR="00BA695B" w:rsidRPr="00305581" w:rsidRDefault="00BA695B" w:rsidP="00DD659A">
      <w:pPr>
        <w:spacing w:line="312" w:lineRule="auto"/>
        <w:rPr>
          <w:color w:val="auto"/>
          <w:sz w:val="8"/>
          <w:lang w:val="de-DE"/>
        </w:rPr>
      </w:pPr>
    </w:p>
    <w:p w:rsidR="008F67F2" w:rsidRDefault="00407EA6" w:rsidP="00407EA6">
      <w:pPr>
        <w:widowControl w:val="0"/>
        <w:spacing w:line="312" w:lineRule="auto"/>
        <w:ind w:firstLine="720"/>
        <w:jc w:val="center"/>
        <w:rPr>
          <w:color w:val="auto"/>
          <w:lang w:val="de-DE"/>
        </w:rPr>
      </w:pPr>
      <w:r>
        <w:rPr>
          <w:color w:val="auto"/>
          <w:lang w:val="de-DE"/>
        </w:rPr>
        <w:t>Kính gửi: Ủy ban nhân dân tỉnh</w:t>
      </w:r>
    </w:p>
    <w:p w:rsidR="00407EA6" w:rsidRDefault="00407EA6" w:rsidP="00DD659A">
      <w:pPr>
        <w:widowControl w:val="0"/>
        <w:spacing w:line="312" w:lineRule="auto"/>
        <w:ind w:firstLine="720"/>
        <w:jc w:val="both"/>
        <w:rPr>
          <w:color w:val="auto"/>
          <w:lang w:val="de-DE"/>
        </w:rPr>
      </w:pPr>
    </w:p>
    <w:p w:rsidR="00514846" w:rsidRPr="00305581" w:rsidRDefault="00207F1E" w:rsidP="00DD659A">
      <w:pPr>
        <w:widowControl w:val="0"/>
        <w:spacing w:line="312" w:lineRule="auto"/>
        <w:ind w:firstLine="720"/>
        <w:jc w:val="both"/>
        <w:rPr>
          <w:color w:val="auto"/>
          <w:lang w:val="de-DE"/>
        </w:rPr>
      </w:pPr>
      <w:r w:rsidRPr="00305581">
        <w:rPr>
          <w:color w:val="auto"/>
          <w:lang w:val="de-DE"/>
        </w:rPr>
        <w:t xml:space="preserve">Thực hiện </w:t>
      </w:r>
      <w:r w:rsidR="00AB1BE3" w:rsidRPr="00305581">
        <w:rPr>
          <w:color w:val="auto"/>
          <w:lang w:val="vi-VN"/>
        </w:rPr>
        <w:t xml:space="preserve">quy định của </w:t>
      </w:r>
      <w:r w:rsidR="00EF6C25" w:rsidRPr="00305581">
        <w:rPr>
          <w:color w:val="auto"/>
          <w:lang w:val="vi-VN"/>
        </w:rPr>
        <w:t>Luật Ban hành văn bản quy phạm pháp luật số 64/2025/QH15 được sửa đổi, bổ sung bởi Luật số 87/2025/QH15; Nghị định số 78/2025/NĐ- 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 Nghị định số 79/2025/NĐ-CP về kiểm tra, rà soát, hệ thống hóa và xử lý văn bản quy phạm pháp luật</w:t>
      </w:r>
      <w:r w:rsidR="00B07EDC" w:rsidRPr="00305581">
        <w:rPr>
          <w:color w:val="auto"/>
          <w:lang w:val="de-DE"/>
        </w:rPr>
        <w:t xml:space="preserve">, </w:t>
      </w:r>
    </w:p>
    <w:p w:rsidR="00064F2E" w:rsidRPr="00305581" w:rsidRDefault="00F470BB" w:rsidP="00DD659A">
      <w:pPr>
        <w:spacing w:line="312" w:lineRule="auto"/>
        <w:ind w:firstLine="720"/>
        <w:jc w:val="both"/>
        <w:rPr>
          <w:color w:val="auto"/>
          <w:spacing w:val="-2"/>
          <w:lang w:val="de-DE"/>
        </w:rPr>
      </w:pPr>
      <w:r w:rsidRPr="00305581">
        <w:rPr>
          <w:color w:val="auto"/>
          <w:spacing w:val="-2"/>
          <w:lang w:val="de-DE"/>
        </w:rPr>
        <w:t xml:space="preserve">Sở Nội vụ </w:t>
      </w:r>
      <w:r w:rsidR="00B07EDC" w:rsidRPr="00305581">
        <w:rPr>
          <w:color w:val="auto"/>
          <w:spacing w:val="-2"/>
          <w:lang w:val="de-DE"/>
        </w:rPr>
        <w:t xml:space="preserve">đã tiến hành tổng kết việc thi hành pháp luật và </w:t>
      </w:r>
      <w:r w:rsidR="00F95D0B" w:rsidRPr="00305581">
        <w:rPr>
          <w:color w:val="auto"/>
          <w:spacing w:val="-2"/>
          <w:lang w:val="de-DE"/>
        </w:rPr>
        <w:t xml:space="preserve">báo cáo </w:t>
      </w:r>
      <w:r w:rsidR="00EF6C25" w:rsidRPr="00305581">
        <w:rPr>
          <w:color w:val="auto"/>
          <w:spacing w:val="-2"/>
          <w:lang w:val="vi-VN"/>
        </w:rPr>
        <w:t>t</w:t>
      </w:r>
      <w:r w:rsidR="00EF6C25" w:rsidRPr="00305581">
        <w:rPr>
          <w:color w:val="auto"/>
          <w:spacing w:val="-2"/>
          <w:lang w:val="pt-BR"/>
        </w:rPr>
        <w:t xml:space="preserve">hực trạng </w:t>
      </w:r>
      <w:r w:rsidR="00311102" w:rsidRPr="00305581">
        <w:rPr>
          <w:color w:val="auto"/>
          <w:spacing w:val="-2"/>
          <w:lang w:val="vi-VN"/>
        </w:rPr>
        <w:t>thực hiện chính sách</w:t>
      </w:r>
      <w:r w:rsidR="00EF6C25" w:rsidRPr="00305581">
        <w:rPr>
          <w:color w:val="auto"/>
          <w:spacing w:val="-2"/>
          <w:lang w:val="vi-VN"/>
        </w:rPr>
        <w:t xml:space="preserve"> có liên quan đến dự thảo Nghị quyết của HĐND tỉnh quy định mức hỗ trợ tiền đóng bảo hiểm xã hộ</w:t>
      </w:r>
      <w:r w:rsidR="00311102" w:rsidRPr="00305581">
        <w:rPr>
          <w:color w:val="auto"/>
          <w:spacing w:val="-2"/>
          <w:lang w:val="vi-VN"/>
        </w:rPr>
        <w:t xml:space="preserve">i </w:t>
      </w:r>
      <w:r w:rsidR="00D724DE" w:rsidRPr="00305581">
        <w:rPr>
          <w:color w:val="auto"/>
          <w:spacing w:val="-2"/>
          <w:lang w:val="vi-VN"/>
        </w:rPr>
        <w:t xml:space="preserve">(BHXH) </w:t>
      </w:r>
      <w:r w:rsidR="00B67EA7" w:rsidRPr="00305581">
        <w:rPr>
          <w:color w:val="auto"/>
          <w:spacing w:val="-2"/>
          <w:lang w:val="vi-VN"/>
        </w:rPr>
        <w:t>cho</w:t>
      </w:r>
      <w:r w:rsidR="00311102" w:rsidRPr="00305581">
        <w:rPr>
          <w:color w:val="auto"/>
          <w:spacing w:val="-2"/>
          <w:lang w:val="vi-VN"/>
        </w:rPr>
        <w:t xml:space="preserve"> </w:t>
      </w:r>
      <w:r w:rsidR="00EF6C25" w:rsidRPr="00305581">
        <w:rPr>
          <w:color w:val="auto"/>
          <w:spacing w:val="-2"/>
          <w:lang w:val="vi-VN"/>
        </w:rPr>
        <w:t>người tham gia bảo hiểm xã hội tự nguyện</w:t>
      </w:r>
      <w:r w:rsidR="00AB1BE3" w:rsidRPr="00305581">
        <w:rPr>
          <w:color w:val="auto"/>
          <w:spacing w:val="-2"/>
          <w:lang w:val="vi-VN"/>
        </w:rPr>
        <w:t xml:space="preserve"> </w:t>
      </w:r>
      <w:r w:rsidR="00E4127A" w:rsidRPr="00305581">
        <w:rPr>
          <w:color w:val="auto"/>
          <w:spacing w:val="-2"/>
          <w:lang w:val="vi-VN"/>
        </w:rPr>
        <w:t>giai đoạn 202</w:t>
      </w:r>
      <w:r w:rsidR="00F83644" w:rsidRPr="00305581">
        <w:rPr>
          <w:color w:val="auto"/>
          <w:spacing w:val="-2"/>
          <w:lang w:val="de-DE"/>
        </w:rPr>
        <w:t>6</w:t>
      </w:r>
      <w:r w:rsidR="00E4127A" w:rsidRPr="00305581">
        <w:rPr>
          <w:color w:val="auto"/>
          <w:spacing w:val="-2"/>
          <w:lang w:val="vi-VN"/>
        </w:rPr>
        <w:t xml:space="preserve">-2030 trên địa bàn tỉnh </w:t>
      </w:r>
      <w:r w:rsidR="005A5DE5" w:rsidRPr="00305581">
        <w:rPr>
          <w:color w:val="auto"/>
          <w:spacing w:val="-2"/>
          <w:lang w:val="de-DE"/>
        </w:rPr>
        <w:t>Thái Nguyên</w:t>
      </w:r>
      <w:r w:rsidR="00E4127A" w:rsidRPr="00305581">
        <w:rPr>
          <w:color w:val="auto"/>
          <w:spacing w:val="-2"/>
          <w:lang w:val="de-DE"/>
        </w:rPr>
        <w:t xml:space="preserve"> </w:t>
      </w:r>
      <w:r w:rsidRPr="00305581">
        <w:rPr>
          <w:color w:val="auto"/>
          <w:spacing w:val="-2"/>
          <w:lang w:val="de-DE"/>
        </w:rPr>
        <w:t>như sau:</w:t>
      </w:r>
    </w:p>
    <w:p w:rsidR="00AB1BE3" w:rsidRPr="00305581" w:rsidRDefault="00C31F08" w:rsidP="00DD659A">
      <w:pPr>
        <w:spacing w:line="312" w:lineRule="auto"/>
        <w:ind w:firstLine="720"/>
        <w:jc w:val="both"/>
        <w:rPr>
          <w:b/>
          <w:color w:val="auto"/>
          <w:lang w:val="vi-VN"/>
        </w:rPr>
      </w:pPr>
      <w:r w:rsidRPr="00305581">
        <w:rPr>
          <w:b/>
          <w:color w:val="auto"/>
          <w:lang w:val="de-DE"/>
        </w:rPr>
        <w:t>I</w:t>
      </w:r>
      <w:r w:rsidRPr="00305581">
        <w:rPr>
          <w:b/>
          <w:color w:val="auto"/>
          <w:lang w:val="vi-VN"/>
        </w:rPr>
        <w:t>. BỐI CẢNH THỰC HIỆN</w:t>
      </w:r>
    </w:p>
    <w:p w:rsidR="00B07EDC" w:rsidRPr="00305581" w:rsidRDefault="00B07EDC" w:rsidP="00DD659A">
      <w:pPr>
        <w:spacing w:line="312" w:lineRule="auto"/>
        <w:ind w:firstLine="720"/>
        <w:jc w:val="both"/>
        <w:rPr>
          <w:color w:val="auto"/>
          <w:spacing w:val="-2"/>
          <w:lang w:val="es-PE"/>
        </w:rPr>
      </w:pPr>
      <w:r w:rsidRPr="00305581">
        <w:rPr>
          <w:color w:val="auto"/>
          <w:spacing w:val="-2"/>
          <w:lang w:val="es-PE"/>
        </w:rPr>
        <w:t xml:space="preserve">Chủ trương của Đảng và Nhà nước về chính sách bảo hiểm xã hội (BHXH) thể hiện nhất quán quan điểm BHXH là một trụ cột chính của hệ thống an sinh xã hội quốc gia, hướng tới mục tiêu phát triển bền </w:t>
      </w:r>
      <w:r w:rsidRPr="00DD659A">
        <w:rPr>
          <w:color w:val="auto"/>
          <w:spacing w:val="-2"/>
          <w:lang w:val="es-PE"/>
        </w:rPr>
        <w:t>vững và bao phủ toàn dân</w:t>
      </w:r>
      <w:r w:rsidRPr="00305581">
        <w:rPr>
          <w:color w:val="auto"/>
          <w:spacing w:val="-2"/>
          <w:lang w:val="es-PE"/>
        </w:rPr>
        <w:t>. Nghị quyết số 28-NQ/TW ngày 23/5/2018 của Ban Chấp hành Trung ương về cải cách chính sách BHXH</w:t>
      </w:r>
      <w:r w:rsidR="00992472" w:rsidRPr="00305581">
        <w:rPr>
          <w:color w:val="auto"/>
          <w:spacing w:val="-2"/>
          <w:lang w:val="es-PE"/>
        </w:rPr>
        <w:t xml:space="preserve"> </w:t>
      </w:r>
      <w:r w:rsidR="00967814" w:rsidRPr="00305581">
        <w:rPr>
          <w:color w:val="auto"/>
          <w:spacing w:val="-2"/>
          <w:lang w:val="es-PE"/>
        </w:rPr>
        <w:t xml:space="preserve">đã thể hiện rõ quan điểm: (1) </w:t>
      </w:r>
      <w:r w:rsidR="00DC3626" w:rsidRPr="00305581">
        <w:rPr>
          <w:color w:val="auto"/>
          <w:spacing w:val="-2"/>
          <w:lang w:val="vi-VN"/>
        </w:rPr>
        <w:t>T</w:t>
      </w:r>
      <w:r w:rsidRPr="00305581">
        <w:rPr>
          <w:color w:val="auto"/>
          <w:spacing w:val="-2"/>
          <w:lang w:val="es-PE"/>
        </w:rPr>
        <w:t>ăng cường sự lãnh đạo của Đảng, đảm bảo chính sách BHXH được thực hiện đúng định hướng xã hội chủ</w:t>
      </w:r>
      <w:r w:rsidR="00DC3626" w:rsidRPr="00305581">
        <w:rPr>
          <w:color w:val="auto"/>
          <w:spacing w:val="-2"/>
          <w:lang w:val="es-PE"/>
        </w:rPr>
        <w:t xml:space="preserve"> nghĩa</w:t>
      </w:r>
      <w:r w:rsidR="00DC3626" w:rsidRPr="00305581">
        <w:rPr>
          <w:color w:val="auto"/>
          <w:spacing w:val="-2"/>
          <w:lang w:val="vi-VN"/>
        </w:rPr>
        <w:t>.</w:t>
      </w:r>
      <w:r w:rsidRPr="00305581">
        <w:rPr>
          <w:color w:val="auto"/>
          <w:spacing w:val="-2"/>
          <w:lang w:val="es-PE"/>
        </w:rPr>
        <w:t xml:space="preserve"> (2) Phát triển hệ thống BHXH linh hoạt, đa dạng, đa tầng: Xây dựng một hệ thống hiện đại, hội nhập quốc tế, dựa trên nguyên tắc đóng - hưởng, công bằng, bình đẳng, chia sẻ và bền vững.</w:t>
      </w:r>
      <w:r w:rsidR="00410177" w:rsidRPr="00305581">
        <w:rPr>
          <w:color w:val="auto"/>
          <w:spacing w:val="-2"/>
          <w:lang w:val="es-PE"/>
        </w:rPr>
        <w:t xml:space="preserve"> (3) BHXH</w:t>
      </w:r>
      <w:r w:rsidRPr="00305581">
        <w:rPr>
          <w:color w:val="auto"/>
          <w:spacing w:val="-2"/>
          <w:lang w:val="es-PE"/>
        </w:rPr>
        <w:t xml:space="preserve"> là quyền và trách nhiệm của mọi công dân: Mở rộng diện bao phủ BHXH</w:t>
      </w:r>
      <w:r w:rsidRPr="00DD659A">
        <w:rPr>
          <w:color w:val="auto"/>
          <w:spacing w:val="-2"/>
          <w:lang w:val="es-PE"/>
        </w:rPr>
        <w:t>, hướng tới mục tiêu BHXH toàn dân.</w:t>
      </w:r>
    </w:p>
    <w:p w:rsidR="00290EBF" w:rsidRPr="00305581" w:rsidRDefault="00410177" w:rsidP="00DD659A">
      <w:pPr>
        <w:spacing w:line="312" w:lineRule="auto"/>
        <w:ind w:firstLine="720"/>
        <w:jc w:val="both"/>
        <w:rPr>
          <w:color w:val="auto"/>
          <w:lang w:val="vi-VN"/>
        </w:rPr>
      </w:pPr>
      <w:r w:rsidRPr="00305581">
        <w:rPr>
          <w:rStyle w:val="fontstyle01"/>
          <w:color w:val="auto"/>
          <w:lang w:val="es-PE"/>
        </w:rPr>
        <w:lastRenderedPageBreak/>
        <w:t>T</w:t>
      </w:r>
      <w:r w:rsidR="00290EBF" w:rsidRPr="00305581">
        <w:rPr>
          <w:rStyle w:val="fontstyle01"/>
          <w:color w:val="auto"/>
          <w:lang w:val="vi-VN"/>
        </w:rPr>
        <w:t xml:space="preserve">hực hiện </w:t>
      </w:r>
      <w:r w:rsidR="00097549" w:rsidRPr="00305581">
        <w:rPr>
          <w:rStyle w:val="fontstyle01"/>
          <w:color w:val="auto"/>
          <w:lang w:val="vi-VN"/>
        </w:rPr>
        <w:t xml:space="preserve">Nghị quyết của </w:t>
      </w:r>
      <w:r w:rsidR="00097549" w:rsidRPr="00305581">
        <w:rPr>
          <w:color w:val="auto"/>
          <w:lang w:val="vi-VN"/>
        </w:rPr>
        <w:t xml:space="preserve">Ban Chấp hành Trung ương, </w:t>
      </w:r>
      <w:r w:rsidR="00992472" w:rsidRPr="00305581">
        <w:rPr>
          <w:color w:val="auto"/>
          <w:lang w:val="es-PE"/>
        </w:rPr>
        <w:t xml:space="preserve">của </w:t>
      </w:r>
      <w:r w:rsidR="00097549" w:rsidRPr="00305581">
        <w:rPr>
          <w:color w:val="auto"/>
          <w:lang w:val="vi-VN"/>
        </w:rPr>
        <w:t>Chính phủ</w:t>
      </w:r>
      <w:r w:rsidR="00097549" w:rsidRPr="00305581">
        <w:rPr>
          <w:rStyle w:val="Thamchiuccch"/>
          <w:color w:val="auto"/>
          <w:lang w:val="vi-VN"/>
        </w:rPr>
        <w:footnoteReference w:id="1"/>
      </w:r>
      <w:r w:rsidR="00290EBF" w:rsidRPr="00305581">
        <w:rPr>
          <w:color w:val="auto"/>
          <w:lang w:val="vi-VN"/>
        </w:rPr>
        <w:t xml:space="preserve">, </w:t>
      </w:r>
      <w:r w:rsidR="00097549" w:rsidRPr="00305581">
        <w:rPr>
          <w:color w:val="auto"/>
          <w:lang w:val="vi-VN"/>
        </w:rPr>
        <w:t xml:space="preserve">Ban </w:t>
      </w:r>
      <w:r w:rsidR="00BC2414" w:rsidRPr="00305581">
        <w:rPr>
          <w:color w:val="auto"/>
          <w:lang w:val="es-PE"/>
        </w:rPr>
        <w:t>Chấp hành Đảng bộ tỉnh</w:t>
      </w:r>
      <w:r w:rsidR="00097549" w:rsidRPr="00305581">
        <w:rPr>
          <w:color w:val="auto"/>
          <w:lang w:val="vi-VN"/>
        </w:rPr>
        <w:t xml:space="preserve"> đã ban hành </w:t>
      </w:r>
      <w:r w:rsidR="00290EBF" w:rsidRPr="00305581">
        <w:rPr>
          <w:color w:val="auto"/>
          <w:lang w:val="vi-VN"/>
        </w:rPr>
        <w:t xml:space="preserve">Chương trình hành động số </w:t>
      </w:r>
      <w:r w:rsidR="00410A33" w:rsidRPr="00305581">
        <w:rPr>
          <w:color w:val="auto"/>
          <w:lang w:val="es-PE"/>
        </w:rPr>
        <w:t>25</w:t>
      </w:r>
      <w:r w:rsidR="00290EBF" w:rsidRPr="00305581">
        <w:rPr>
          <w:color w:val="auto"/>
          <w:lang w:val="vi-VN"/>
        </w:rPr>
        <w:t xml:space="preserve">-CTr/TU ngày </w:t>
      </w:r>
      <w:r w:rsidR="00410A33" w:rsidRPr="00305581">
        <w:rPr>
          <w:color w:val="auto"/>
          <w:lang w:val="es-PE"/>
        </w:rPr>
        <w:t>26/7</w:t>
      </w:r>
      <w:r w:rsidR="00290EBF" w:rsidRPr="00305581">
        <w:rPr>
          <w:color w:val="auto"/>
          <w:lang w:val="vi-VN"/>
        </w:rPr>
        <w:t>/2018 về thực hiện Nghị quyết số</w:t>
      </w:r>
      <w:r w:rsidR="00097549" w:rsidRPr="00305581">
        <w:rPr>
          <w:color w:val="auto"/>
          <w:lang w:val="vi-VN"/>
        </w:rPr>
        <w:t xml:space="preserve"> 28-NQ/TW </w:t>
      </w:r>
      <w:r w:rsidR="00290EBF" w:rsidRPr="00305581">
        <w:rPr>
          <w:color w:val="auto"/>
          <w:lang w:val="vi-VN"/>
        </w:rPr>
        <w:t>ng</w:t>
      </w:r>
      <w:r w:rsidR="00097549" w:rsidRPr="00305581">
        <w:rPr>
          <w:color w:val="auto"/>
          <w:lang w:val="vi-VN"/>
        </w:rPr>
        <w:t>ày 23/5</w:t>
      </w:r>
      <w:r w:rsidR="00014B9F" w:rsidRPr="00305581">
        <w:rPr>
          <w:color w:val="auto"/>
          <w:lang w:val="vi-VN"/>
        </w:rPr>
        <w:t xml:space="preserve">/2018; UBND tỉnh đã </w:t>
      </w:r>
      <w:r w:rsidR="00D724DE" w:rsidRPr="00305581">
        <w:rPr>
          <w:rStyle w:val="fontstyle01"/>
          <w:color w:val="auto"/>
          <w:lang w:val="es-PE"/>
        </w:rPr>
        <w:t xml:space="preserve">ban hành các </w:t>
      </w:r>
      <w:r w:rsidR="00D724DE" w:rsidRPr="00305581">
        <w:rPr>
          <w:rStyle w:val="fontstyle01"/>
          <w:color w:val="auto"/>
          <w:lang w:val="vi-VN"/>
        </w:rPr>
        <w:t>k</w:t>
      </w:r>
      <w:r w:rsidR="00097549" w:rsidRPr="00305581">
        <w:rPr>
          <w:rStyle w:val="fontstyle01"/>
          <w:color w:val="auto"/>
          <w:lang w:val="es-PE"/>
        </w:rPr>
        <w:t>ế hoạch</w:t>
      </w:r>
      <w:r w:rsidR="00014B9F" w:rsidRPr="00305581">
        <w:rPr>
          <w:rStyle w:val="Thamchiuccch"/>
          <w:color w:val="auto"/>
        </w:rPr>
        <w:footnoteReference w:id="2"/>
      </w:r>
      <w:r w:rsidR="00097549" w:rsidRPr="00305581">
        <w:rPr>
          <w:rStyle w:val="fontstyle01"/>
          <w:color w:val="auto"/>
          <w:lang w:val="es-PE"/>
        </w:rPr>
        <w:t xml:space="preserve"> triển khai t</w:t>
      </w:r>
      <w:r w:rsidR="00097549" w:rsidRPr="00305581">
        <w:rPr>
          <w:color w:val="auto"/>
          <w:lang w:val="pt-PT"/>
        </w:rPr>
        <w:t xml:space="preserve">hực hiện </w:t>
      </w:r>
      <w:r w:rsidR="003460AA" w:rsidRPr="00305581">
        <w:rPr>
          <w:bCs/>
          <w:color w:val="auto"/>
          <w:lang w:val="es-PE"/>
        </w:rPr>
        <w:t>Nghị quyết số 125/NQ-CP ngày 08/10/2018 của Chính phủ, Chương trình hành động số 25-CTr/TU ngày 26/7/2018 của Ban chấp hành Đảng bộ tỉnh</w:t>
      </w:r>
      <w:r w:rsidR="00014B9F" w:rsidRPr="00305581">
        <w:rPr>
          <w:color w:val="auto"/>
          <w:spacing w:val="-6"/>
          <w:lang w:val="nl-NL"/>
        </w:rPr>
        <w:t xml:space="preserve">, </w:t>
      </w:r>
      <w:r w:rsidR="00014B9F" w:rsidRPr="00305581">
        <w:rPr>
          <w:color w:val="auto"/>
          <w:spacing w:val="-6"/>
          <w:lang w:val="vi-VN"/>
        </w:rPr>
        <w:t>k</w:t>
      </w:r>
      <w:r w:rsidR="00097549" w:rsidRPr="00305581">
        <w:rPr>
          <w:color w:val="auto"/>
          <w:spacing w:val="-6"/>
          <w:lang w:val="nl-NL"/>
        </w:rPr>
        <w:t>ế hoạch</w:t>
      </w:r>
      <w:r w:rsidR="00097549" w:rsidRPr="00305581">
        <w:rPr>
          <w:color w:val="auto"/>
          <w:spacing w:val="3"/>
          <w:shd w:val="clear" w:color="auto" w:fill="FFFFFF"/>
          <w:lang w:val="es-PE"/>
        </w:rPr>
        <w:t xml:space="preserve"> thực hiệ</w:t>
      </w:r>
      <w:r w:rsidR="002614F2" w:rsidRPr="00305581">
        <w:rPr>
          <w:color w:val="auto"/>
          <w:spacing w:val="3"/>
          <w:shd w:val="clear" w:color="auto" w:fill="FFFFFF"/>
          <w:lang w:val="es-PE"/>
        </w:rPr>
        <w:t xml:space="preserve">n chính sách BHXH </w:t>
      </w:r>
      <w:r w:rsidR="00097549" w:rsidRPr="00305581">
        <w:rPr>
          <w:color w:val="auto"/>
          <w:spacing w:val="3"/>
          <w:shd w:val="clear" w:color="auto" w:fill="FFFFFF"/>
          <w:lang w:val="es-PE"/>
        </w:rPr>
        <w:t>hàng năm trên địa bàn tỉnh</w:t>
      </w:r>
      <w:r w:rsidR="00014B9F" w:rsidRPr="00305581">
        <w:rPr>
          <w:color w:val="auto"/>
          <w:spacing w:val="3"/>
          <w:shd w:val="clear" w:color="auto" w:fill="FFFFFF"/>
          <w:lang w:val="vi-VN"/>
        </w:rPr>
        <w:t xml:space="preserve">, </w:t>
      </w:r>
      <w:r w:rsidR="00097549" w:rsidRPr="00305581">
        <w:rPr>
          <w:color w:val="auto"/>
          <w:lang w:val="vi-VN"/>
        </w:rPr>
        <w:t xml:space="preserve">đặt ra mục tiêu </w:t>
      </w:r>
      <w:r w:rsidR="00014B9F" w:rsidRPr="00305581">
        <w:rPr>
          <w:color w:val="auto"/>
          <w:lang w:val="vi-VN"/>
        </w:rPr>
        <w:t xml:space="preserve">thực hiện đồng bộ các nhóm giải pháp nhằm tăng nhanh diện bao phủ đối tượng tham gia </w:t>
      </w:r>
      <w:r w:rsidR="00D724DE" w:rsidRPr="00305581">
        <w:rPr>
          <w:rStyle w:val="fontstyle01"/>
          <w:color w:val="auto"/>
          <w:lang w:val="es-PE"/>
        </w:rPr>
        <w:t>BHXH</w:t>
      </w:r>
      <w:r w:rsidR="00014B9F" w:rsidRPr="00305581">
        <w:rPr>
          <w:color w:val="auto"/>
          <w:lang w:val="vi-VN"/>
        </w:rPr>
        <w:t xml:space="preserve">, </w:t>
      </w:r>
      <w:r w:rsidR="00097549" w:rsidRPr="00305581">
        <w:rPr>
          <w:color w:val="auto"/>
          <w:lang w:val="vi-VN"/>
        </w:rPr>
        <w:t>p</w:t>
      </w:r>
      <w:r w:rsidR="00290EBF" w:rsidRPr="00305581">
        <w:rPr>
          <w:color w:val="auto"/>
          <w:lang w:val="vi-VN"/>
        </w:rPr>
        <w:t>hấn đấu</w:t>
      </w:r>
      <w:r w:rsidR="00014B9F" w:rsidRPr="00305581">
        <w:rPr>
          <w:color w:val="auto"/>
          <w:lang w:val="vi-VN"/>
        </w:rPr>
        <w:t xml:space="preserve"> đến năm 2030</w:t>
      </w:r>
      <w:r w:rsidR="00290EBF" w:rsidRPr="00305581">
        <w:rPr>
          <w:color w:val="auto"/>
          <w:lang w:val="vi-VN"/>
        </w:rPr>
        <w:t xml:space="preserve"> đạt khoảng 60% lực lượng lao động trong độ tuổi tham gia </w:t>
      </w:r>
      <w:r w:rsidR="00D724DE" w:rsidRPr="00305581">
        <w:rPr>
          <w:rStyle w:val="fontstyle01"/>
          <w:color w:val="auto"/>
          <w:lang w:val="es-PE"/>
        </w:rPr>
        <w:t>BHXH</w:t>
      </w:r>
      <w:r w:rsidR="00290EBF" w:rsidRPr="00305581">
        <w:rPr>
          <w:color w:val="auto"/>
          <w:lang w:val="vi-VN"/>
        </w:rPr>
        <w:t xml:space="preserve">, trong đó nông dân và lao động khu vực phi chính thức tham gia </w:t>
      </w:r>
      <w:r w:rsidR="00D724DE" w:rsidRPr="00305581">
        <w:rPr>
          <w:rStyle w:val="fontstyle01"/>
          <w:color w:val="auto"/>
          <w:lang w:val="es-PE"/>
        </w:rPr>
        <w:t>BHXH</w:t>
      </w:r>
      <w:r w:rsidR="00D724DE" w:rsidRPr="00305581">
        <w:rPr>
          <w:color w:val="auto"/>
          <w:lang w:val="vi-VN"/>
        </w:rPr>
        <w:t xml:space="preserve"> </w:t>
      </w:r>
      <w:r w:rsidR="00290EBF" w:rsidRPr="00305581">
        <w:rPr>
          <w:color w:val="auto"/>
          <w:lang w:val="vi-VN"/>
        </w:rPr>
        <w:t>tự nguyện chiếm khoả</w:t>
      </w:r>
      <w:r w:rsidR="002614F2" w:rsidRPr="00305581">
        <w:rPr>
          <w:color w:val="auto"/>
          <w:lang w:val="vi-VN"/>
        </w:rPr>
        <w:t>ng 5</w:t>
      </w:r>
      <w:r w:rsidR="00290EBF" w:rsidRPr="00305581">
        <w:rPr>
          <w:color w:val="auto"/>
          <w:lang w:val="vi-VN"/>
        </w:rPr>
        <w:t>% lực lượng lao động trong độ tuổi...</w:t>
      </w:r>
      <w:r w:rsidRPr="00305581">
        <w:rPr>
          <w:color w:val="auto"/>
          <w:lang w:val="es-PE"/>
        </w:rPr>
        <w:t xml:space="preserve"> </w:t>
      </w:r>
      <w:r w:rsidR="00290EBF" w:rsidRPr="00305581">
        <w:rPr>
          <w:color w:val="auto"/>
          <w:lang w:val="vi-VN"/>
        </w:rPr>
        <w:t xml:space="preserve">khoảng 60% số người sau độ tuổi nghỉ hưu được hương lương hưu, </w:t>
      </w:r>
      <w:r w:rsidR="00D724DE" w:rsidRPr="00305581">
        <w:rPr>
          <w:rStyle w:val="fontstyle01"/>
          <w:color w:val="auto"/>
          <w:lang w:val="es-PE"/>
        </w:rPr>
        <w:t>BHXH</w:t>
      </w:r>
      <w:r w:rsidR="00D724DE" w:rsidRPr="00305581">
        <w:rPr>
          <w:color w:val="auto"/>
          <w:lang w:val="vi-VN"/>
        </w:rPr>
        <w:t xml:space="preserve"> </w:t>
      </w:r>
      <w:r w:rsidR="00290EBF" w:rsidRPr="00305581">
        <w:rPr>
          <w:color w:val="auto"/>
          <w:lang w:val="vi-VN"/>
        </w:rPr>
        <w:t xml:space="preserve">hằng tháng và trợ cấp hưu trí xã hội; chỉ số đánh giá mức độ hài lòng của người tham gia </w:t>
      </w:r>
      <w:r w:rsidR="00D724DE" w:rsidRPr="00305581">
        <w:rPr>
          <w:rStyle w:val="fontstyle01"/>
          <w:color w:val="auto"/>
          <w:lang w:val="es-PE"/>
        </w:rPr>
        <w:t>BHXH</w:t>
      </w:r>
      <w:r w:rsidR="00290EBF" w:rsidRPr="00305581">
        <w:rPr>
          <w:color w:val="auto"/>
          <w:lang w:val="vi-VN"/>
        </w:rPr>
        <w:t xml:space="preserve"> đạt mứ</w:t>
      </w:r>
      <w:r w:rsidRPr="00305581">
        <w:rPr>
          <w:color w:val="auto"/>
          <w:lang w:val="vi-VN"/>
        </w:rPr>
        <w:t>c 90</w:t>
      </w:r>
      <w:r w:rsidR="00290EBF" w:rsidRPr="00305581">
        <w:rPr>
          <w:color w:val="auto"/>
          <w:lang w:val="vi-VN"/>
        </w:rPr>
        <w:t>%</w:t>
      </w:r>
      <w:r w:rsidR="00D724DE" w:rsidRPr="00305581">
        <w:rPr>
          <w:color w:val="auto"/>
          <w:lang w:val="vi-VN"/>
        </w:rPr>
        <w:t>.</w:t>
      </w:r>
    </w:p>
    <w:p w:rsidR="00AB1BE3" w:rsidRPr="00305581" w:rsidRDefault="00014B9F" w:rsidP="00DD659A">
      <w:pPr>
        <w:widowControl w:val="0"/>
        <w:spacing w:line="312" w:lineRule="auto"/>
        <w:ind w:firstLine="709"/>
        <w:jc w:val="both"/>
        <w:rPr>
          <w:color w:val="auto"/>
          <w:lang w:val="vi-VN"/>
        </w:rPr>
      </w:pPr>
      <w:r w:rsidRPr="00305581">
        <w:rPr>
          <w:color w:val="auto"/>
          <w:lang w:val="vi-VN"/>
        </w:rPr>
        <w:t xml:space="preserve">Để đạt được mục tiêu </w:t>
      </w:r>
      <w:r w:rsidR="00967814" w:rsidRPr="00305581">
        <w:rPr>
          <w:color w:val="auto"/>
          <w:lang w:val="vi-VN"/>
        </w:rPr>
        <w:t>về BHXH</w:t>
      </w:r>
      <w:r w:rsidRPr="00305581">
        <w:rPr>
          <w:color w:val="auto"/>
          <w:lang w:val="vi-VN"/>
        </w:rPr>
        <w:t>,</w:t>
      </w:r>
      <w:r w:rsidR="003B113E" w:rsidRPr="00305581">
        <w:rPr>
          <w:color w:val="auto"/>
          <w:lang w:val="vi-VN"/>
        </w:rPr>
        <w:t xml:space="preserve"> </w:t>
      </w:r>
      <w:r w:rsidR="00967814" w:rsidRPr="00305581">
        <w:rPr>
          <w:color w:val="auto"/>
          <w:lang w:val="vi-VN"/>
        </w:rPr>
        <w:t>các cơ quan chức năng trên địa bàn đã đẩy mạnh công tác</w:t>
      </w:r>
      <w:r w:rsidR="00410177" w:rsidRPr="00305581">
        <w:rPr>
          <w:color w:val="auto"/>
          <w:lang w:val="vi-VN"/>
        </w:rPr>
        <w:t xml:space="preserve"> quản lý, </w:t>
      </w:r>
      <w:r w:rsidR="00967814" w:rsidRPr="00305581">
        <w:rPr>
          <w:color w:val="auto"/>
          <w:lang w:val="vi-VN"/>
        </w:rPr>
        <w:t xml:space="preserve">tuyên truyền nhằm </w:t>
      </w:r>
      <w:r w:rsidR="003B113E" w:rsidRPr="00305581">
        <w:rPr>
          <w:color w:val="auto"/>
          <w:lang w:val="vi-VN"/>
        </w:rPr>
        <w:t xml:space="preserve">phát triển hệ thống </w:t>
      </w:r>
      <w:r w:rsidR="00D724DE" w:rsidRPr="00305581">
        <w:rPr>
          <w:rStyle w:val="fontstyle01"/>
          <w:color w:val="auto"/>
          <w:lang w:val="es-PE"/>
        </w:rPr>
        <w:t>BHXH</w:t>
      </w:r>
      <w:r w:rsidR="003B113E" w:rsidRPr="00305581">
        <w:rPr>
          <w:color w:val="auto"/>
          <w:lang w:val="vi-VN"/>
        </w:rPr>
        <w:t xml:space="preserve"> linh hoạt, đa dạng, đa tầng, </w:t>
      </w:r>
      <w:r w:rsidR="009B20B4" w:rsidRPr="00305581">
        <w:rPr>
          <w:color w:val="auto"/>
          <w:shd w:val="clear" w:color="auto" w:fill="FFFFFF"/>
          <w:lang w:val="es-ES"/>
        </w:rPr>
        <w:t>mở rộng khả năng tiếp cận và tham gia cho mọi đối tượng</w:t>
      </w:r>
      <w:r w:rsidR="00967814" w:rsidRPr="00305581">
        <w:rPr>
          <w:color w:val="auto"/>
          <w:shd w:val="clear" w:color="auto" w:fill="FFFFFF"/>
          <w:lang w:val="es-ES"/>
        </w:rPr>
        <w:t>. Tuy nhiên qua đánh giá thực tiễn</w:t>
      </w:r>
      <w:r w:rsidR="00024110" w:rsidRPr="00305581">
        <w:rPr>
          <w:color w:val="auto"/>
          <w:shd w:val="clear" w:color="auto" w:fill="FFFFFF"/>
          <w:lang w:val="es-ES"/>
        </w:rPr>
        <w:t xml:space="preserve"> </w:t>
      </w:r>
      <w:r w:rsidR="00024110" w:rsidRPr="00305581">
        <w:rPr>
          <w:rFonts w:eastAsia="Times New Roman"/>
          <w:color w:val="auto"/>
          <w:lang w:val="vi-VN" w:eastAsia="vi-VN"/>
        </w:rPr>
        <w:t>phát triển kinh tế</w:t>
      </w:r>
      <w:r w:rsidR="00024110" w:rsidRPr="00305581">
        <w:rPr>
          <w:rFonts w:eastAsia="Times New Roman"/>
          <w:color w:val="auto"/>
          <w:lang w:val="es-ES" w:eastAsia="vi-VN"/>
        </w:rPr>
        <w:t xml:space="preserve"> - </w:t>
      </w:r>
      <w:r w:rsidR="00024110" w:rsidRPr="00305581">
        <w:rPr>
          <w:rFonts w:eastAsia="Times New Roman"/>
          <w:color w:val="auto"/>
          <w:lang w:val="vi-VN" w:eastAsia="vi-VN"/>
        </w:rPr>
        <w:t xml:space="preserve">xã hội </w:t>
      </w:r>
      <w:r w:rsidR="00024110" w:rsidRPr="00305581">
        <w:rPr>
          <w:rFonts w:eastAsia="Times New Roman"/>
          <w:color w:val="auto"/>
          <w:lang w:val="es-ES" w:eastAsia="vi-VN"/>
        </w:rPr>
        <w:t>trên</w:t>
      </w:r>
      <w:r w:rsidR="00024110" w:rsidRPr="00305581">
        <w:rPr>
          <w:rFonts w:eastAsia="Times New Roman"/>
          <w:color w:val="auto"/>
          <w:lang w:val="vi-VN" w:eastAsia="vi-VN"/>
        </w:rPr>
        <w:t xml:space="preserve"> địa bàn, bên cạnh những đối tượng có quan hệ lao động thu nhập ổn định, còn số lượng lớn lực lượng lao động làm việc không có giao kết hợp đồng lao động, thu nhập không ổn định, làm việc tự do, không thuộc đối tượng tham gia BHXH bắt buộc song chưa đủ khả năng để tham gia BHXH, cần có sự hỗ trợ từ Nhà nước, chính quyền địa phương và sự chung tay hỗ trợ từ các tổ chức, cá nhân khác để có đủ khả năng tham gia BHXH, </w:t>
      </w:r>
      <w:r w:rsidR="00024110" w:rsidRPr="00305581">
        <w:rPr>
          <w:rFonts w:eastAsia="Times New Roman"/>
          <w:color w:val="auto"/>
          <w:lang w:val="es-ES" w:eastAsia="vi-VN"/>
        </w:rPr>
        <w:t>để tiến</w:t>
      </w:r>
      <w:r w:rsidR="00024110" w:rsidRPr="00305581">
        <w:rPr>
          <w:rFonts w:eastAsia="Times New Roman"/>
          <w:color w:val="auto"/>
          <w:lang w:val="vi-VN" w:eastAsia="vi-VN"/>
        </w:rPr>
        <w:t xml:space="preserve"> tới bao phủ BHXH toàn diện.</w:t>
      </w:r>
      <w:r w:rsidR="00024110" w:rsidRPr="00305581">
        <w:rPr>
          <w:rFonts w:eastAsia="Times New Roman"/>
          <w:color w:val="auto"/>
          <w:lang w:val="es-ES" w:eastAsia="vi-VN"/>
        </w:rPr>
        <w:t xml:space="preserve"> Vì vậy </w:t>
      </w:r>
      <w:r w:rsidR="009B20B4" w:rsidRPr="00305581">
        <w:rPr>
          <w:color w:val="auto"/>
          <w:lang w:val="vi-VN"/>
        </w:rPr>
        <w:t>x</w:t>
      </w:r>
      <w:r w:rsidR="00262A6E" w:rsidRPr="00305581">
        <w:rPr>
          <w:color w:val="auto"/>
          <w:lang w:val="vi-VN"/>
        </w:rPr>
        <w:t xml:space="preserve">ây dựng chính sách hỗ trợ cho các đối tượng lao động khu vực phi chính thức, nông dân, người nghèo, người có thu nhập thấp tham gia </w:t>
      </w:r>
      <w:r w:rsidR="00D724DE" w:rsidRPr="00305581">
        <w:rPr>
          <w:rStyle w:val="fontstyle01"/>
          <w:color w:val="auto"/>
          <w:lang w:val="es-PE"/>
        </w:rPr>
        <w:t>BHXH</w:t>
      </w:r>
      <w:r w:rsidR="00D724DE" w:rsidRPr="00305581">
        <w:rPr>
          <w:color w:val="auto"/>
          <w:lang w:val="vi-VN"/>
        </w:rPr>
        <w:t xml:space="preserve"> </w:t>
      </w:r>
      <w:r w:rsidR="00262A6E" w:rsidRPr="00305581">
        <w:rPr>
          <w:color w:val="auto"/>
          <w:lang w:val="vi-VN"/>
        </w:rPr>
        <w:t>tự nguyện</w:t>
      </w:r>
      <w:r w:rsidR="00410177" w:rsidRPr="00305581">
        <w:rPr>
          <w:color w:val="auto"/>
          <w:lang w:val="vi-VN"/>
        </w:rPr>
        <w:t xml:space="preserve"> là một giải pháp đạt hiệu quả cao, phù hợp với thực trạng, đặc điểm của các đối tượng tham gia BHXH tự nguyện trên địa bàn.</w:t>
      </w:r>
    </w:p>
    <w:p w:rsidR="000C1578" w:rsidRPr="00305581" w:rsidRDefault="00024110" w:rsidP="00DD659A">
      <w:pPr>
        <w:spacing w:line="312" w:lineRule="auto"/>
        <w:ind w:firstLine="709"/>
        <w:jc w:val="both"/>
        <w:rPr>
          <w:color w:val="auto"/>
          <w:spacing w:val="-2"/>
          <w:lang w:val="vi-VN"/>
        </w:rPr>
      </w:pPr>
      <w:r w:rsidRPr="00305581">
        <w:rPr>
          <w:color w:val="auto"/>
          <w:spacing w:val="-2"/>
          <w:lang w:val="vi-VN"/>
        </w:rPr>
        <w:lastRenderedPageBreak/>
        <w:t>X</w:t>
      </w:r>
      <w:r w:rsidR="000C1578" w:rsidRPr="00305581">
        <w:rPr>
          <w:color w:val="auto"/>
          <w:spacing w:val="-2"/>
          <w:lang w:val="vi-VN"/>
        </w:rPr>
        <w:t xml:space="preserve">ây dựng chính sách hỗ trợ </w:t>
      </w:r>
      <w:r w:rsidR="00065789" w:rsidRPr="00305581">
        <w:rPr>
          <w:color w:val="auto"/>
          <w:spacing w:val="-2"/>
          <w:lang w:val="vi-VN"/>
        </w:rPr>
        <w:t xml:space="preserve">kinh phí </w:t>
      </w:r>
      <w:r w:rsidR="000C1578" w:rsidRPr="00305581">
        <w:rPr>
          <w:color w:val="auto"/>
          <w:spacing w:val="-2"/>
          <w:lang w:val="vi-VN"/>
        </w:rPr>
        <w:t xml:space="preserve">đóng BHXH cho người tham gia BHXH tự nguyện là phù hợp với đường lối, chủ trương của Đảng, nhà nước và phù hợp với tình hình thực tiễn, đảm bảo hoàn thành chỉ tiêu phát triển BHXH, </w:t>
      </w:r>
      <w:r w:rsidR="00DE4E97" w:rsidRPr="00305581">
        <w:rPr>
          <w:color w:val="auto"/>
          <w:spacing w:val="-2"/>
          <w:lang w:val="vi-VN"/>
        </w:rPr>
        <w:t xml:space="preserve">đảm bảo </w:t>
      </w:r>
      <w:r w:rsidR="000C1578" w:rsidRPr="00305581">
        <w:rPr>
          <w:color w:val="auto"/>
          <w:spacing w:val="-2"/>
          <w:lang w:val="vi-VN"/>
        </w:rPr>
        <w:t xml:space="preserve">an sinh xã hội bền vững. </w:t>
      </w:r>
      <w:r w:rsidRPr="00305581">
        <w:rPr>
          <w:color w:val="auto"/>
          <w:spacing w:val="-2"/>
          <w:lang w:val="vi-VN"/>
        </w:rPr>
        <w:t>Các quy định của pháp luật đã thể hiện rõ chính sách</w:t>
      </w:r>
      <w:r w:rsidR="00DE4E97" w:rsidRPr="00305581">
        <w:rPr>
          <w:color w:val="auto"/>
          <w:spacing w:val="-2"/>
          <w:lang w:val="vi-VN"/>
        </w:rPr>
        <w:t>, cụ thể</w:t>
      </w:r>
      <w:r w:rsidRPr="00305581">
        <w:rPr>
          <w:color w:val="auto"/>
          <w:spacing w:val="-2"/>
          <w:lang w:val="vi-VN"/>
        </w:rPr>
        <w:t>:</w:t>
      </w:r>
    </w:p>
    <w:p w:rsidR="000C1578" w:rsidRPr="00305581" w:rsidRDefault="000C1578" w:rsidP="00DD659A">
      <w:pPr>
        <w:spacing w:line="312" w:lineRule="auto"/>
        <w:ind w:firstLine="709"/>
        <w:jc w:val="both"/>
        <w:rPr>
          <w:i/>
          <w:color w:val="auto"/>
          <w:lang w:val="es-ES"/>
        </w:rPr>
      </w:pPr>
      <w:r w:rsidRPr="00305581">
        <w:rPr>
          <w:color w:val="auto"/>
          <w:lang w:val="vi-VN"/>
        </w:rPr>
        <w:t>T</w:t>
      </w:r>
      <w:r w:rsidR="00CD5F1D" w:rsidRPr="00305581">
        <w:rPr>
          <w:rFonts w:eastAsia="SimSun"/>
          <w:color w:val="auto"/>
          <w:lang w:val="nl-NL"/>
        </w:rPr>
        <w:t>ại khoản 6</w:t>
      </w:r>
      <w:r w:rsidR="00311102" w:rsidRPr="00305581">
        <w:rPr>
          <w:rFonts w:eastAsia="SimSun"/>
          <w:color w:val="auto"/>
          <w:lang w:val="vi-VN"/>
        </w:rPr>
        <w:t>,</w:t>
      </w:r>
      <w:r w:rsidR="00CD5F1D" w:rsidRPr="00305581">
        <w:rPr>
          <w:rFonts w:eastAsia="SimSun"/>
          <w:color w:val="auto"/>
          <w:lang w:val="nl-NL"/>
        </w:rPr>
        <w:t xml:space="preserve"> Điều 6 Luật </w:t>
      </w:r>
      <w:r w:rsidR="009B20B4" w:rsidRPr="00305581">
        <w:rPr>
          <w:color w:val="auto"/>
          <w:lang w:val="vi-VN"/>
        </w:rPr>
        <w:t>Bảo hiểm xã hội</w:t>
      </w:r>
      <w:r w:rsidR="00CD5F1D" w:rsidRPr="00305581">
        <w:rPr>
          <w:color w:val="auto"/>
          <w:lang w:val="nl-NL"/>
        </w:rPr>
        <w:t xml:space="preserve"> </w:t>
      </w:r>
      <w:r w:rsidR="00CD5F1D" w:rsidRPr="00305581">
        <w:rPr>
          <w:rFonts w:eastAsia="SimSun"/>
          <w:color w:val="auto"/>
          <w:lang w:val="nl-NL"/>
        </w:rPr>
        <w:t xml:space="preserve">năm 2024 về </w:t>
      </w:r>
      <w:bookmarkStart w:id="1" w:name="dieu_6"/>
      <w:r w:rsidR="00E4127A" w:rsidRPr="00305581">
        <w:rPr>
          <w:rFonts w:eastAsia="SimSun"/>
          <w:color w:val="auto"/>
          <w:lang w:val="vi-VN"/>
        </w:rPr>
        <w:t>c</w:t>
      </w:r>
      <w:r w:rsidR="00CD5F1D" w:rsidRPr="00305581">
        <w:rPr>
          <w:rFonts w:eastAsia="SimSun"/>
          <w:color w:val="auto"/>
          <w:lang w:val="es-ES"/>
        </w:rPr>
        <w:t>hính sách của Nhà nước đối với bảo hiểm xã hội</w:t>
      </w:r>
      <w:bookmarkEnd w:id="1"/>
      <w:r w:rsidR="00CD5F1D" w:rsidRPr="00305581">
        <w:rPr>
          <w:rFonts w:eastAsia="SimSun"/>
          <w:b/>
          <w:bCs/>
          <w:color w:val="auto"/>
          <w:lang w:val="es-ES"/>
        </w:rPr>
        <w:t xml:space="preserve"> </w:t>
      </w:r>
      <w:r w:rsidR="00CD5F1D" w:rsidRPr="00305581">
        <w:rPr>
          <w:rFonts w:eastAsia="SimSun"/>
          <w:color w:val="auto"/>
          <w:lang w:val="nl-NL"/>
        </w:rPr>
        <w:t>quy định: “</w:t>
      </w:r>
      <w:r w:rsidR="00CD5F1D" w:rsidRPr="00305581">
        <w:rPr>
          <w:i/>
          <w:color w:val="auto"/>
          <w:lang w:val="es-ES"/>
        </w:rPr>
        <w:t xml:space="preserve">Khuyến khích các địa phương tùy theo điều kiện kinh tế - xã hội, khả năng cân đối ngân sách, kết hợp huy động các nguồn lực xã hội </w:t>
      </w:r>
      <w:r w:rsidR="00CD5F1D" w:rsidRPr="00305581">
        <w:rPr>
          <w:bCs/>
          <w:i/>
          <w:color w:val="auto"/>
          <w:lang w:val="es-ES"/>
        </w:rPr>
        <w:t>hỗ trợ thêm tiền đóng bảo hiểm xã hội cho người tham gia bảo hiểm xã hội tự nguyện</w:t>
      </w:r>
      <w:r w:rsidR="00CD5F1D" w:rsidRPr="00305581">
        <w:rPr>
          <w:i/>
          <w:color w:val="auto"/>
          <w:lang w:val="es-ES"/>
        </w:rPr>
        <w:t xml:space="preserve"> và hỗ trợ thêm cho người hưởng trợ cấp hưu trí xã hội.”</w:t>
      </w:r>
      <w:r w:rsidRPr="00305581">
        <w:rPr>
          <w:i/>
          <w:color w:val="auto"/>
          <w:lang w:val="es-ES"/>
        </w:rPr>
        <w:t>.</w:t>
      </w:r>
    </w:p>
    <w:p w:rsidR="00CD5F1D" w:rsidRPr="00305581" w:rsidRDefault="00D724DE" w:rsidP="00DD659A">
      <w:pPr>
        <w:spacing w:line="312" w:lineRule="auto"/>
        <w:ind w:firstLine="709"/>
        <w:jc w:val="both"/>
        <w:rPr>
          <w:rFonts w:eastAsia="SimSun"/>
          <w:color w:val="auto"/>
          <w:lang w:val="vi-VN"/>
        </w:rPr>
      </w:pPr>
      <w:r w:rsidRPr="00305581">
        <w:rPr>
          <w:rFonts w:eastAsia="SimSun"/>
          <w:color w:val="auto"/>
          <w:lang w:val="vi-VN"/>
        </w:rPr>
        <w:t xml:space="preserve"> </w:t>
      </w:r>
      <w:r w:rsidR="00CD5F1D" w:rsidRPr="00305581">
        <w:rPr>
          <w:rFonts w:eastAsia="SimSun"/>
          <w:color w:val="auto"/>
          <w:lang w:val="es-ES"/>
        </w:rPr>
        <w:t>Tại k</w:t>
      </w:r>
      <w:r w:rsidR="00CD5F1D" w:rsidRPr="00305581">
        <w:rPr>
          <w:rFonts w:eastAsia="SimSun"/>
          <w:color w:val="auto"/>
          <w:lang w:val="nl-NL"/>
        </w:rPr>
        <w:t>hoản 1</w:t>
      </w:r>
      <w:r w:rsidR="00311102" w:rsidRPr="00305581">
        <w:rPr>
          <w:rFonts w:eastAsia="SimSun"/>
          <w:color w:val="auto"/>
          <w:lang w:val="vi-VN"/>
        </w:rPr>
        <w:t>,</w:t>
      </w:r>
      <w:r w:rsidR="00CD5F1D" w:rsidRPr="00305581">
        <w:rPr>
          <w:rFonts w:eastAsia="SimSun"/>
          <w:color w:val="auto"/>
          <w:lang w:val="nl-NL"/>
        </w:rPr>
        <w:t xml:space="preserve"> Điều 5 Nghị định số 159/2025/NĐ-CP ngày 25/6/2025 của Chính phủ quy định chi tiết và hướng dẫn thi hành một số điều của Luật </w:t>
      </w:r>
      <w:r w:rsidR="009B20B4" w:rsidRPr="00305581">
        <w:rPr>
          <w:color w:val="auto"/>
          <w:lang w:val="vi-VN"/>
        </w:rPr>
        <w:t>Bảo hiểm xã hội</w:t>
      </w:r>
      <w:r w:rsidR="00CD5F1D" w:rsidRPr="00305581">
        <w:rPr>
          <w:color w:val="auto"/>
          <w:lang w:val="es-ES"/>
        </w:rPr>
        <w:t xml:space="preserve"> </w:t>
      </w:r>
      <w:r w:rsidR="00CD5F1D" w:rsidRPr="00305581">
        <w:rPr>
          <w:rFonts w:eastAsia="SimSun"/>
          <w:color w:val="auto"/>
          <w:lang w:val="nl-NL"/>
        </w:rPr>
        <w:t xml:space="preserve">về </w:t>
      </w:r>
      <w:r w:rsidR="009B20B4" w:rsidRPr="00305581">
        <w:rPr>
          <w:color w:val="auto"/>
          <w:lang w:val="vi-VN"/>
        </w:rPr>
        <w:t>Bảo hiểm xã hội</w:t>
      </w:r>
      <w:r w:rsidR="00CD5F1D" w:rsidRPr="00305581">
        <w:rPr>
          <w:color w:val="auto"/>
          <w:lang w:val="es-ES"/>
        </w:rPr>
        <w:t xml:space="preserve"> </w:t>
      </w:r>
      <w:r w:rsidR="00CD5F1D" w:rsidRPr="00305581">
        <w:rPr>
          <w:rFonts w:eastAsia="SimSun"/>
          <w:color w:val="auto"/>
          <w:lang w:val="nl-NL"/>
        </w:rPr>
        <w:t>tự nguyện</w:t>
      </w:r>
      <w:r w:rsidR="00CD5F1D" w:rsidRPr="00305581">
        <w:rPr>
          <w:rFonts w:eastAsia="SimSun"/>
          <w:color w:val="auto"/>
          <w:lang w:val="es-ES"/>
        </w:rPr>
        <w:t xml:space="preserve"> quy định:</w:t>
      </w:r>
      <w:r w:rsidR="00CD5F1D" w:rsidRPr="00305581">
        <w:rPr>
          <w:rFonts w:eastAsia="SimSun"/>
          <w:i/>
          <w:color w:val="auto"/>
          <w:lang w:val="es-ES"/>
        </w:rPr>
        <w:t>“…</w:t>
      </w:r>
      <w:r w:rsidR="00CD5F1D" w:rsidRPr="00305581">
        <w:rPr>
          <w:i/>
          <w:color w:val="auto"/>
          <w:lang w:val="nl-NL"/>
        </w:rPr>
        <w:t xml:space="preserve">Tùy theo điều kiện kinh tế - xã hội, khả năng cân đối ngân sách, kết hợp huy động các nguồn lực xã hội, </w:t>
      </w:r>
      <w:r w:rsidR="00CD5F1D" w:rsidRPr="00305581">
        <w:rPr>
          <w:bCs/>
          <w:i/>
          <w:color w:val="auto"/>
          <w:lang w:val="nl-NL"/>
        </w:rPr>
        <w:t>Ủy ban nhân dân các tỉnh, thành phố trực thuộc trung ương trình Hội đồng nhân dân cùng cấp</w:t>
      </w:r>
      <w:r w:rsidR="00CD5F1D" w:rsidRPr="00305581">
        <w:rPr>
          <w:i/>
          <w:color w:val="auto"/>
          <w:lang w:val="nl-NL"/>
        </w:rPr>
        <w:t xml:space="preserve"> quyết định hỗ trợ tiền đóng bảo hiểm xã hội cho người tham gia bảo hiểm xã hội tự nguyện trên đị</w:t>
      </w:r>
      <w:r w:rsidRPr="00305581">
        <w:rPr>
          <w:i/>
          <w:color w:val="auto"/>
          <w:lang w:val="nl-NL"/>
        </w:rPr>
        <w:t>a bàn</w:t>
      </w:r>
      <w:r w:rsidRPr="00305581">
        <w:rPr>
          <w:i/>
          <w:color w:val="auto"/>
          <w:lang w:val="vi-VN"/>
        </w:rPr>
        <w:t>..</w:t>
      </w:r>
      <w:r w:rsidR="00CD5F1D" w:rsidRPr="00305581">
        <w:rPr>
          <w:i/>
          <w:color w:val="auto"/>
          <w:lang w:val="nl-NL"/>
        </w:rPr>
        <w:t>.”</w:t>
      </w:r>
      <w:r w:rsidRPr="00305581">
        <w:rPr>
          <w:color w:val="auto"/>
          <w:lang w:val="vi-VN"/>
        </w:rPr>
        <w:t xml:space="preserve">, </w:t>
      </w:r>
    </w:p>
    <w:p w:rsidR="00A52056" w:rsidRPr="00305581" w:rsidRDefault="00C31F08" w:rsidP="00DD659A">
      <w:pPr>
        <w:spacing w:line="312" w:lineRule="auto"/>
        <w:ind w:firstLine="720"/>
        <w:jc w:val="both"/>
        <w:rPr>
          <w:b/>
          <w:color w:val="auto"/>
          <w:lang w:val="vi-VN"/>
        </w:rPr>
      </w:pPr>
      <w:r w:rsidRPr="00305581">
        <w:rPr>
          <w:b/>
          <w:color w:val="auto"/>
          <w:lang w:val="sv-SE"/>
        </w:rPr>
        <w:t>II. ĐÁNH GIÁ THỰC TRẠNG</w:t>
      </w:r>
    </w:p>
    <w:p w:rsidR="00FF6DE7" w:rsidRPr="00305581" w:rsidRDefault="00FF6DE7" w:rsidP="00DD659A">
      <w:pPr>
        <w:widowControl w:val="0"/>
        <w:spacing w:line="312" w:lineRule="auto"/>
        <w:ind w:firstLine="709"/>
        <w:jc w:val="both"/>
        <w:rPr>
          <w:b/>
          <w:color w:val="auto"/>
          <w:lang w:val="sv-SE"/>
        </w:rPr>
      </w:pPr>
      <w:r w:rsidRPr="00305581">
        <w:rPr>
          <w:b/>
          <w:color w:val="auto"/>
          <w:lang w:val="sv-SE"/>
        </w:rPr>
        <w:t>1. Th</w:t>
      </w:r>
      <w:r w:rsidR="009F22CA" w:rsidRPr="00305581">
        <w:rPr>
          <w:b/>
          <w:color w:val="auto"/>
          <w:lang w:val="sv-SE"/>
        </w:rPr>
        <w:t xml:space="preserve">ực </w:t>
      </w:r>
      <w:r w:rsidRPr="00305581">
        <w:rPr>
          <w:b/>
          <w:color w:val="auto"/>
          <w:lang w:val="sv-SE"/>
        </w:rPr>
        <w:t xml:space="preserve">trạng về </w:t>
      </w:r>
      <w:r w:rsidR="00103087" w:rsidRPr="00305581">
        <w:rPr>
          <w:b/>
          <w:color w:val="auto"/>
          <w:lang w:val="sv-SE"/>
        </w:rPr>
        <w:t>lực</w:t>
      </w:r>
      <w:r w:rsidRPr="00305581">
        <w:rPr>
          <w:b/>
          <w:color w:val="auto"/>
          <w:lang w:val="sv-SE"/>
        </w:rPr>
        <w:t xml:space="preserve"> lượng lao động và các đối tượ</w:t>
      </w:r>
      <w:r w:rsidR="00FF61FA" w:rsidRPr="00305581">
        <w:rPr>
          <w:b/>
          <w:color w:val="auto"/>
          <w:lang w:val="sv-SE"/>
        </w:rPr>
        <w:t xml:space="preserve">ng tham gia </w:t>
      </w:r>
      <w:r w:rsidR="00992472" w:rsidRPr="00305581">
        <w:rPr>
          <w:b/>
          <w:color w:val="auto"/>
          <w:lang w:val="sv-SE"/>
        </w:rPr>
        <w:t>bảo hiểm xã hội</w:t>
      </w:r>
    </w:p>
    <w:p w:rsidR="004113BE" w:rsidRPr="00305581" w:rsidRDefault="004113BE" w:rsidP="00DD659A">
      <w:pPr>
        <w:widowControl w:val="0"/>
        <w:spacing w:line="312" w:lineRule="auto"/>
        <w:ind w:firstLine="709"/>
        <w:jc w:val="both"/>
        <w:rPr>
          <w:rFonts w:eastAsia="Times New Roman"/>
          <w:b/>
          <w:i/>
          <w:iCs/>
          <w:color w:val="auto"/>
          <w:lang w:val="sv-SE"/>
        </w:rPr>
      </w:pPr>
      <w:r w:rsidRPr="00305581">
        <w:rPr>
          <w:rFonts w:eastAsia="Times New Roman"/>
          <w:b/>
          <w:i/>
          <w:iCs/>
          <w:color w:val="auto"/>
          <w:lang w:val="sv-SE"/>
        </w:rPr>
        <w:t>1.1. Tình hình chun</w:t>
      </w:r>
      <w:r w:rsidR="00992472" w:rsidRPr="00305581">
        <w:rPr>
          <w:rFonts w:eastAsia="Times New Roman"/>
          <w:b/>
          <w:i/>
          <w:iCs/>
          <w:color w:val="auto"/>
          <w:lang w:val="sv-SE"/>
        </w:rPr>
        <w:t>g</w:t>
      </w:r>
    </w:p>
    <w:p w:rsidR="0046210F" w:rsidRPr="00305581" w:rsidRDefault="0046210F" w:rsidP="00DD659A">
      <w:pPr>
        <w:widowControl w:val="0"/>
        <w:tabs>
          <w:tab w:val="left" w:pos="5036"/>
        </w:tabs>
        <w:spacing w:line="312" w:lineRule="auto"/>
        <w:ind w:firstLine="720"/>
        <w:jc w:val="both"/>
        <w:rPr>
          <w:rFonts w:eastAsia="Times New Roman"/>
          <w:color w:val="auto"/>
          <w:szCs w:val="26"/>
          <w:lang w:val="sv-SE"/>
        </w:rPr>
      </w:pPr>
      <w:r w:rsidRPr="00305581">
        <w:rPr>
          <w:rFonts w:eastAsia="Times New Roman"/>
          <w:color w:val="auto"/>
          <w:szCs w:val="26"/>
          <w:lang w:val="sv-SE"/>
        </w:rPr>
        <w:t xml:space="preserve">Thái Nguyên là tỉnh miền núi và trung du, địa hình có tính đa dạng. Khu vực Phía Bắc (tỉnh Bắc Kạn cũ) có địa hình núi cao, cao hơn các tỉnh xung quanh, các mạch núi cánh cung chi phối địa hình. Địa hình Bắc Kạn có thể chia làm 3 khu vực: Phía Đông là cánh cung Ngân Sơn mang tính điển hình nhất ở vùng Đông Bắc, có cấu tạo tương đối thuần nhất, chủ yếu thuận lợi phát triển lâm nghiệp; phía Tây cũng là những khối núi cao; khu vực trung tâm dọc thung lũng sông Cầu có địa hình thấp hơn nhiều, thích hợp phát triển nông nghiệp. </w:t>
      </w:r>
    </w:p>
    <w:p w:rsidR="0046210F" w:rsidRPr="00305581" w:rsidRDefault="0046210F" w:rsidP="00DD659A">
      <w:pPr>
        <w:widowControl w:val="0"/>
        <w:tabs>
          <w:tab w:val="left" w:pos="5036"/>
        </w:tabs>
        <w:spacing w:line="312" w:lineRule="auto"/>
        <w:ind w:firstLine="720"/>
        <w:jc w:val="both"/>
        <w:rPr>
          <w:rFonts w:eastAsia="Times New Roman"/>
          <w:color w:val="auto"/>
          <w:szCs w:val="26"/>
          <w:lang w:val="sv-SE"/>
        </w:rPr>
      </w:pPr>
      <w:r w:rsidRPr="00305581">
        <w:rPr>
          <w:rFonts w:eastAsia="Times New Roman"/>
          <w:color w:val="auto"/>
          <w:szCs w:val="26"/>
          <w:lang w:val="sv-SE"/>
        </w:rPr>
        <w:t xml:space="preserve">Địa hình phía Nam (tỉnh Thái Nguyên trước </w:t>
      </w:r>
      <w:r w:rsidR="003F3AC7" w:rsidRPr="00305581">
        <w:rPr>
          <w:rFonts w:eastAsia="Times New Roman"/>
          <w:color w:val="auto"/>
          <w:szCs w:val="26"/>
          <w:lang w:val="sv-SE"/>
        </w:rPr>
        <w:t>sắp xếp</w:t>
      </w:r>
      <w:r w:rsidRPr="00305581">
        <w:rPr>
          <w:rFonts w:eastAsia="Times New Roman"/>
          <w:color w:val="auto"/>
          <w:szCs w:val="26"/>
          <w:lang w:val="sv-SE"/>
        </w:rPr>
        <w:t>) chủ yếu là đồi núi thấp chạy theo hướng Bắc - Nam. Phía Tây Nam có dãy núi </w:t>
      </w:r>
      <w:hyperlink r:id="rId9" w:tooltip="Tam Đảo" w:history="1">
        <w:r w:rsidRPr="00305581">
          <w:rPr>
            <w:rFonts w:eastAsia="Times New Roman"/>
            <w:color w:val="auto"/>
            <w:szCs w:val="26"/>
            <w:lang w:val="sv-SE"/>
          </w:rPr>
          <w:t>Tam Đảo</w:t>
        </w:r>
      </w:hyperlink>
      <w:r w:rsidRPr="00305581">
        <w:rPr>
          <w:rFonts w:eastAsia="Times New Roman"/>
          <w:color w:val="auto"/>
          <w:szCs w:val="26"/>
          <w:lang w:val="sv-SE"/>
        </w:rPr>
        <w:t xml:space="preserve"> với đỉnh cao nhất đạt 1.591m. Ở phía bắc có dãy Ngân Sơn từ Bắc Kạn kéo xuống Võ Nhai, cùng với dãy núi Bắc Sơn có hướng Tây Bắc - Đông Nam. Mực địa hình chủ yếu của Thái Nguyên cũ là 200 </w:t>
      </w:r>
      <w:r w:rsidR="005D785F" w:rsidRPr="00305581">
        <w:rPr>
          <w:rFonts w:eastAsia="Times New Roman"/>
          <w:color w:val="auto"/>
          <w:szCs w:val="26"/>
          <w:lang w:val="sv-SE"/>
        </w:rPr>
        <w:t>-</w:t>
      </w:r>
      <w:r w:rsidRPr="00305581">
        <w:rPr>
          <w:rFonts w:eastAsia="Times New Roman"/>
          <w:color w:val="auto"/>
          <w:szCs w:val="26"/>
          <w:lang w:val="sv-SE"/>
        </w:rPr>
        <w:t xml:space="preserve"> 600 m. Thái Nguyên cũ có 3 vùng địa hình: Vùng núi phía Tây và Tây Bắc, vùng núi phía Đông, vùng có địa hình thấp dưới 100 m từ Nam Phú Lương về phía Nam. Phía Đông có dãy núi đá vôi đồ sộ kéo dài từ </w:t>
      </w:r>
      <w:hyperlink r:id="rId10" w:tooltip="La Hiên" w:history="1">
        <w:r w:rsidRPr="00305581">
          <w:rPr>
            <w:rFonts w:eastAsia="Times New Roman"/>
            <w:color w:val="auto"/>
            <w:szCs w:val="26"/>
            <w:lang w:val="sv-SE"/>
          </w:rPr>
          <w:t>La Hiên</w:t>
        </w:r>
      </w:hyperlink>
      <w:r w:rsidRPr="00305581">
        <w:rPr>
          <w:rFonts w:eastAsia="Times New Roman"/>
          <w:color w:val="auto"/>
          <w:szCs w:val="26"/>
          <w:lang w:val="sv-SE"/>
        </w:rPr>
        <w:t xml:space="preserve"> đến </w:t>
      </w:r>
      <w:r w:rsidRPr="00305581">
        <w:rPr>
          <w:rFonts w:eastAsia="Times New Roman"/>
          <w:color w:val="auto"/>
          <w:szCs w:val="26"/>
          <w:lang w:val="sv-SE"/>
        </w:rPr>
        <w:lastRenderedPageBreak/>
        <w:t xml:space="preserve">Bắc Sơn, cùng những khối núi đá vôi lớn gồm Thần Sa và Phương Giao. </w:t>
      </w:r>
    </w:p>
    <w:p w:rsidR="006815D1" w:rsidRPr="00305581" w:rsidRDefault="006815D1" w:rsidP="00DD659A">
      <w:pPr>
        <w:widowControl w:val="0"/>
        <w:tabs>
          <w:tab w:val="left" w:pos="993"/>
        </w:tabs>
        <w:spacing w:line="312" w:lineRule="auto"/>
        <w:ind w:firstLine="720"/>
        <w:jc w:val="both"/>
        <w:rPr>
          <w:color w:val="auto"/>
          <w:szCs w:val="26"/>
          <w:lang w:val="sv-SE" w:eastAsia="en-GB"/>
        </w:rPr>
      </w:pPr>
      <w:r w:rsidRPr="00305581">
        <w:rPr>
          <w:color w:val="auto"/>
          <w:szCs w:val="26"/>
          <w:lang w:val="sv-SE" w:eastAsia="en-GB"/>
        </w:rPr>
        <w:t>Theo Niên giám thống kê năm 2024, tổng dân số trung bình của hai tỉnh Bắc Kạn và Thái Nguyên đạt 1.694.510 người. Trong đó, tỉnh Bắc Kạn có 329.312 người và tỉnh Thái Nguyên có 1.365.198 người. Dân số nông thôn của hai tỉnh đạt 1.057.594 người, trong đó Bắc Kạn có 248.461 người (tăn</w:t>
      </w:r>
      <w:r w:rsidR="003F3AC7" w:rsidRPr="00305581">
        <w:rPr>
          <w:color w:val="auto"/>
          <w:szCs w:val="26"/>
          <w:lang w:val="sv-SE" w:eastAsia="en-GB"/>
        </w:rPr>
        <w:t>g</w:t>
      </w:r>
      <w:r w:rsidRPr="00305581">
        <w:rPr>
          <w:color w:val="auto"/>
          <w:szCs w:val="26"/>
          <w:lang w:val="sv-SE" w:eastAsia="en-GB"/>
        </w:rPr>
        <w:t xml:space="preserve"> 0,24%) và Thái Nguyên có 809.133 người (chiếm 76,5%, tăng 0,95% so với năm 2023).</w:t>
      </w:r>
    </w:p>
    <w:p w:rsidR="006815D1" w:rsidRPr="00305581" w:rsidRDefault="006815D1" w:rsidP="00DD659A">
      <w:pPr>
        <w:widowControl w:val="0"/>
        <w:tabs>
          <w:tab w:val="left" w:pos="993"/>
        </w:tabs>
        <w:spacing w:line="312" w:lineRule="auto"/>
        <w:ind w:firstLine="720"/>
        <w:jc w:val="both"/>
        <w:rPr>
          <w:color w:val="auto"/>
          <w:szCs w:val="26"/>
          <w:lang w:val="sv-SE" w:eastAsia="en-GB"/>
        </w:rPr>
      </w:pPr>
      <w:r w:rsidRPr="00305581">
        <w:rPr>
          <w:color w:val="auto"/>
          <w:szCs w:val="26"/>
          <w:lang w:val="sv-SE" w:eastAsia="en-GB"/>
        </w:rPr>
        <w:t>Lực lượng lao động của tỉnh Bắc Kạn phân bố chủ yếu ở khu vực nông thôn với 67,90%, còn khu vực thành thị chiếm 32,10%. Tương tự, tại Thái Nguyên, mặc dù tỷ lệ lao động khu vực thành thị có xu hướng tăng trong những năm gần đây, khu vực nông thôn vẫn chiếm tỷ trọng cao hơn với 61,2%. Điều này cho thấy cả hai tỉnh vẫn duy trì đặc trưng lao động tập trung chủ yếu ở khu vực nông thôn.</w:t>
      </w:r>
    </w:p>
    <w:p w:rsidR="0046210F" w:rsidRPr="00305581" w:rsidRDefault="006815D1" w:rsidP="00DD659A">
      <w:pPr>
        <w:widowControl w:val="0"/>
        <w:spacing w:line="312" w:lineRule="auto"/>
        <w:ind w:firstLine="709"/>
        <w:jc w:val="both"/>
        <w:rPr>
          <w:rFonts w:eastAsia="Times New Roman"/>
          <w:b/>
          <w:iCs/>
          <w:color w:val="auto"/>
          <w:lang w:val="sv-SE"/>
        </w:rPr>
      </w:pPr>
      <w:r w:rsidRPr="00305581">
        <w:rPr>
          <w:color w:val="auto"/>
          <w:szCs w:val="26"/>
          <w:lang w:val="sv-SE"/>
        </w:rPr>
        <w:t xml:space="preserve">Trên địa bàn tỉnh hiện nay có 51 dân tộc cùng sinh sống (dân tộc Kinh chiếm 58,73% và 50 dân tộc thiểu số chiếm 41,7%), </w:t>
      </w:r>
      <w:r w:rsidR="007E6328" w:rsidRPr="00305581">
        <w:rPr>
          <w:color w:val="auto"/>
          <w:szCs w:val="26"/>
          <w:lang w:val="sv-SE"/>
        </w:rPr>
        <w:t>người dân tộc thiểu số của tỉnh Thái Nguyên chiểm tỷ lệ tương đối lớn.</w:t>
      </w:r>
    </w:p>
    <w:p w:rsidR="007E6328" w:rsidRPr="00305581" w:rsidRDefault="003E6E93" w:rsidP="00DD659A">
      <w:pPr>
        <w:widowControl w:val="0"/>
        <w:spacing w:line="312" w:lineRule="auto"/>
        <w:ind w:firstLine="709"/>
        <w:jc w:val="both"/>
        <w:rPr>
          <w:bCs/>
          <w:color w:val="auto"/>
          <w:spacing w:val="-2"/>
          <w:lang w:val="sv-SE"/>
        </w:rPr>
      </w:pPr>
      <w:r w:rsidRPr="00305581">
        <w:rPr>
          <w:bCs/>
          <w:color w:val="auto"/>
          <w:lang w:val="sv-SE"/>
        </w:rPr>
        <w:t>Tại thời điểm báo cáo</w:t>
      </w:r>
      <w:r w:rsidR="00B31230" w:rsidRPr="00305581">
        <w:rPr>
          <w:bCs/>
          <w:color w:val="auto"/>
          <w:lang w:val="vi-VN"/>
        </w:rPr>
        <w:t>,</w:t>
      </w:r>
      <w:r w:rsidRPr="00305581">
        <w:rPr>
          <w:bCs/>
          <w:color w:val="auto"/>
          <w:lang w:val="sv-SE"/>
        </w:rPr>
        <w:t xml:space="preserve"> </w:t>
      </w:r>
      <w:r w:rsidR="00091D11" w:rsidRPr="00305581">
        <w:rPr>
          <w:bCs/>
          <w:color w:val="auto"/>
          <w:lang w:val="vi-VN"/>
        </w:rPr>
        <w:t xml:space="preserve">tỉnh </w:t>
      </w:r>
      <w:r w:rsidR="007E6328" w:rsidRPr="00305581">
        <w:rPr>
          <w:bCs/>
          <w:color w:val="auto"/>
          <w:lang w:val="sv-SE"/>
        </w:rPr>
        <w:t>Thái Nguyên</w:t>
      </w:r>
      <w:r w:rsidR="00091D11" w:rsidRPr="00305581">
        <w:rPr>
          <w:bCs/>
          <w:color w:val="auto"/>
          <w:lang w:val="vi-VN"/>
        </w:rPr>
        <w:t xml:space="preserve"> có </w:t>
      </w:r>
      <w:r w:rsidR="00A5058E" w:rsidRPr="00305581">
        <w:rPr>
          <w:bCs/>
          <w:color w:val="auto"/>
          <w:lang w:val="sv-SE"/>
        </w:rPr>
        <w:t>335.943</w:t>
      </w:r>
      <w:r w:rsidR="00F11C20" w:rsidRPr="00305581">
        <w:rPr>
          <w:bCs/>
          <w:color w:val="auto"/>
          <w:lang w:val="sv-SE"/>
        </w:rPr>
        <w:t xml:space="preserve"> người tham gia BHXH (trong đó có </w:t>
      </w:r>
      <w:r w:rsidR="00F11C20" w:rsidRPr="00305581">
        <w:rPr>
          <w:bCs/>
          <w:color w:val="auto"/>
          <w:spacing w:val="-2"/>
          <w:lang w:val="sv-SE"/>
        </w:rPr>
        <w:t>50.</w:t>
      </w:r>
      <w:r w:rsidR="00A5058E" w:rsidRPr="00305581">
        <w:rPr>
          <w:bCs/>
          <w:color w:val="auto"/>
          <w:spacing w:val="-2"/>
          <w:lang w:val="sv-SE"/>
        </w:rPr>
        <w:t>527</w:t>
      </w:r>
      <w:r w:rsidR="00F11C20" w:rsidRPr="00305581">
        <w:rPr>
          <w:bCs/>
          <w:color w:val="auto"/>
          <w:spacing w:val="-2"/>
          <w:lang w:val="sv-SE"/>
        </w:rPr>
        <w:t xml:space="preserve"> người tham gia BHXH tự nguyện)</w:t>
      </w:r>
      <w:r w:rsidR="00A5058E" w:rsidRPr="00305581">
        <w:rPr>
          <w:bCs/>
          <w:color w:val="auto"/>
          <w:spacing w:val="-2"/>
          <w:lang w:val="sv-SE"/>
        </w:rPr>
        <w:t>,</w:t>
      </w:r>
      <w:r w:rsidR="00F11C20" w:rsidRPr="00305581">
        <w:rPr>
          <w:bCs/>
          <w:color w:val="auto"/>
          <w:spacing w:val="-2"/>
          <w:lang w:val="sv-SE"/>
        </w:rPr>
        <w:t xml:space="preserve"> </w:t>
      </w:r>
      <w:r w:rsidR="007E6328" w:rsidRPr="00305581">
        <w:rPr>
          <w:bCs/>
          <w:color w:val="auto"/>
          <w:spacing w:val="-2"/>
          <w:lang w:val="sv-SE"/>
        </w:rPr>
        <w:t>tỷ lệ lao động trong độ tuổ</w:t>
      </w:r>
      <w:r w:rsidR="00A5058E" w:rsidRPr="00305581">
        <w:rPr>
          <w:bCs/>
          <w:color w:val="auto"/>
          <w:spacing w:val="-2"/>
          <w:lang w:val="sv-SE"/>
        </w:rPr>
        <w:t>i tham gia BHXH là 45</w:t>
      </w:r>
      <w:r w:rsidR="0027798F" w:rsidRPr="00305581">
        <w:rPr>
          <w:bCs/>
          <w:color w:val="auto"/>
          <w:spacing w:val="-2"/>
          <w:lang w:val="sv-SE"/>
        </w:rPr>
        <w:t>,3</w:t>
      </w:r>
      <w:r w:rsidR="007E6328" w:rsidRPr="00305581">
        <w:rPr>
          <w:bCs/>
          <w:color w:val="auto"/>
          <w:spacing w:val="-2"/>
          <w:lang w:val="sv-SE"/>
        </w:rPr>
        <w:t>%</w:t>
      </w:r>
      <w:r w:rsidR="00F11C20" w:rsidRPr="00305581">
        <w:rPr>
          <w:bCs/>
          <w:color w:val="auto"/>
          <w:spacing w:val="-2"/>
          <w:lang w:val="sv-SE"/>
        </w:rPr>
        <w:t>.</w:t>
      </w:r>
    </w:p>
    <w:p w:rsidR="001E5E4E" w:rsidRPr="00305581" w:rsidRDefault="00380515" w:rsidP="00DD659A">
      <w:pPr>
        <w:widowControl w:val="0"/>
        <w:spacing w:line="312" w:lineRule="auto"/>
        <w:ind w:firstLine="709"/>
        <w:jc w:val="both"/>
        <w:rPr>
          <w:rFonts w:eastAsia="Times New Roman"/>
          <w:b/>
          <w:i/>
          <w:color w:val="auto"/>
          <w:lang w:val="es-ES" w:eastAsia="vi-VN"/>
        </w:rPr>
      </w:pPr>
      <w:r w:rsidRPr="00305581">
        <w:rPr>
          <w:rFonts w:eastAsia="Times New Roman"/>
          <w:b/>
          <w:i/>
          <w:color w:val="auto"/>
          <w:lang w:val="es-ES" w:eastAsia="vi-VN"/>
        </w:rPr>
        <w:t>1.</w:t>
      </w:r>
      <w:r w:rsidR="00FF6DE7" w:rsidRPr="00305581">
        <w:rPr>
          <w:rFonts w:eastAsia="Times New Roman"/>
          <w:b/>
          <w:i/>
          <w:color w:val="auto"/>
          <w:lang w:val="es-ES" w:eastAsia="vi-VN"/>
        </w:rPr>
        <w:t xml:space="preserve">2. </w:t>
      </w:r>
      <w:r w:rsidR="00D50BC4" w:rsidRPr="00305581">
        <w:rPr>
          <w:rFonts w:eastAsia="Times New Roman"/>
          <w:b/>
          <w:i/>
          <w:color w:val="auto"/>
          <w:lang w:val="es-ES" w:eastAsia="vi-VN"/>
        </w:rPr>
        <w:t>T</w:t>
      </w:r>
      <w:r w:rsidR="00FF6DE7" w:rsidRPr="00305581">
        <w:rPr>
          <w:rFonts w:eastAsia="Times New Roman"/>
          <w:b/>
          <w:i/>
          <w:color w:val="auto"/>
          <w:lang w:val="es-ES" w:eastAsia="vi-VN"/>
        </w:rPr>
        <w:t xml:space="preserve">ình hình tham gia bảo hiểm xã hội </w:t>
      </w:r>
      <w:r w:rsidR="001E5E4E" w:rsidRPr="00305581">
        <w:rPr>
          <w:rFonts w:eastAsia="Times New Roman"/>
          <w:b/>
          <w:i/>
          <w:color w:val="auto"/>
          <w:lang w:val="es-ES" w:eastAsia="vi-VN"/>
        </w:rPr>
        <w:t xml:space="preserve">của các đối tượng </w:t>
      </w:r>
    </w:p>
    <w:p w:rsidR="00FF6DE7" w:rsidRPr="00305581" w:rsidRDefault="00926DF2" w:rsidP="00DD659A">
      <w:pPr>
        <w:widowControl w:val="0"/>
        <w:spacing w:line="312" w:lineRule="auto"/>
        <w:ind w:firstLine="709"/>
        <w:jc w:val="both"/>
        <w:rPr>
          <w:rFonts w:eastAsia="Times New Roman"/>
          <w:i/>
          <w:color w:val="auto"/>
          <w:lang w:val="es-ES" w:eastAsia="vi-VN"/>
        </w:rPr>
      </w:pPr>
      <w:r w:rsidRPr="00305581">
        <w:rPr>
          <w:rFonts w:eastAsia="Times New Roman"/>
          <w:i/>
          <w:color w:val="auto"/>
          <w:lang w:val="es-ES" w:eastAsia="vi-VN"/>
        </w:rPr>
        <w:t>- Tổng số</w:t>
      </w:r>
      <w:r w:rsidR="00FF6DE7" w:rsidRPr="00305581">
        <w:rPr>
          <w:rFonts w:eastAsia="Times New Roman"/>
          <w:i/>
          <w:color w:val="auto"/>
          <w:lang w:val="es-ES" w:eastAsia="vi-VN"/>
        </w:rPr>
        <w:t xml:space="preserve"> đối tượng tham gia BHXH </w:t>
      </w:r>
      <w:r w:rsidR="001E5E4E" w:rsidRPr="00305581">
        <w:rPr>
          <w:rFonts w:eastAsia="Times New Roman"/>
          <w:i/>
          <w:color w:val="auto"/>
          <w:lang w:val="es-ES" w:eastAsia="vi-VN"/>
        </w:rPr>
        <w:t>do BHXH tỉnh quản lý</w:t>
      </w:r>
      <w:r w:rsidR="002447CF" w:rsidRPr="00305581">
        <w:rPr>
          <w:rFonts w:eastAsia="Times New Roman"/>
          <w:i/>
          <w:color w:val="auto"/>
          <w:lang w:val="es-ES" w:eastAsia="vi-VN"/>
        </w:rPr>
        <w:t>:</w:t>
      </w:r>
    </w:p>
    <w:tbl>
      <w:tblPr>
        <w:tblW w:w="10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1126"/>
        <w:gridCol w:w="1126"/>
        <w:gridCol w:w="940"/>
        <w:gridCol w:w="986"/>
        <w:gridCol w:w="940"/>
        <w:gridCol w:w="986"/>
        <w:gridCol w:w="800"/>
        <w:gridCol w:w="856"/>
        <w:gridCol w:w="986"/>
        <w:gridCol w:w="1126"/>
      </w:tblGrid>
      <w:tr w:rsidR="00305581" w:rsidRPr="00305581" w:rsidTr="008F67F2">
        <w:trPr>
          <w:trHeight w:val="421"/>
          <w:jc w:val="center"/>
        </w:trPr>
        <w:tc>
          <w:tcPr>
            <w:tcW w:w="839" w:type="dxa"/>
            <w:vMerge w:val="restart"/>
            <w:tcBorders>
              <w:top w:val="single" w:sz="4" w:space="0" w:color="000000"/>
              <w:left w:val="single" w:sz="4" w:space="0" w:color="000000"/>
              <w:bottom w:val="single" w:sz="4" w:space="0" w:color="000000"/>
              <w:right w:val="single" w:sz="4" w:space="0" w:color="000000"/>
            </w:tcBorders>
            <w:hideMark/>
          </w:tcPr>
          <w:p w:rsidR="00380515" w:rsidRPr="00305581" w:rsidRDefault="00380515" w:rsidP="00FC4301">
            <w:pPr>
              <w:widowControl w:val="0"/>
              <w:spacing w:beforeLines="40" w:before="96" w:after="120" w:line="320" w:lineRule="atLeast"/>
              <w:ind w:left="-88" w:right="-183"/>
              <w:jc w:val="center"/>
              <w:rPr>
                <w:rFonts w:eastAsia="Times New Roman"/>
                <w:iCs/>
                <w:color w:val="auto"/>
                <w:sz w:val="24"/>
                <w:szCs w:val="24"/>
                <w:lang w:val="vi-VN"/>
              </w:rPr>
            </w:pPr>
            <w:r w:rsidRPr="00305581">
              <w:rPr>
                <w:rFonts w:eastAsia="Times New Roman"/>
                <w:iCs/>
                <w:color w:val="auto"/>
                <w:sz w:val="24"/>
                <w:szCs w:val="24"/>
                <w:lang w:val="vi-VN"/>
              </w:rPr>
              <w:t>Năm</w:t>
            </w:r>
          </w:p>
        </w:tc>
        <w:tc>
          <w:tcPr>
            <w:tcW w:w="1126" w:type="dxa"/>
            <w:vMerge w:val="restart"/>
            <w:tcBorders>
              <w:top w:val="single" w:sz="4" w:space="0" w:color="000000"/>
              <w:left w:val="single" w:sz="4" w:space="0" w:color="000000"/>
              <w:right w:val="single" w:sz="4" w:space="0" w:color="000000"/>
            </w:tcBorders>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r w:rsidRPr="00305581">
              <w:rPr>
                <w:rFonts w:eastAsia="Times New Roman"/>
                <w:iCs/>
                <w:color w:val="auto"/>
                <w:sz w:val="24"/>
                <w:szCs w:val="24"/>
                <w:lang w:val="vi-VN"/>
              </w:rPr>
              <w:t>Lực lượng lao động trong độ tuổi lao động</w:t>
            </w:r>
          </w:p>
        </w:tc>
        <w:tc>
          <w:tcPr>
            <w:tcW w:w="3992" w:type="dxa"/>
            <w:gridSpan w:val="4"/>
            <w:tcBorders>
              <w:top w:val="single" w:sz="4" w:space="0" w:color="000000"/>
              <w:left w:val="single" w:sz="4" w:space="0" w:color="000000"/>
              <w:bottom w:val="single" w:sz="4" w:space="0" w:color="000000"/>
              <w:right w:val="single" w:sz="4" w:space="0" w:color="000000"/>
            </w:tcBorders>
            <w:hideMark/>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r w:rsidRPr="00305581">
              <w:rPr>
                <w:rFonts w:eastAsia="Times New Roman"/>
                <w:iCs/>
                <w:color w:val="auto"/>
                <w:sz w:val="24"/>
                <w:szCs w:val="24"/>
                <w:lang w:val="vi-VN"/>
              </w:rPr>
              <w:t>Số người tham gia BHXH</w:t>
            </w:r>
            <w:r w:rsidRPr="00305581">
              <w:rPr>
                <w:rStyle w:val="Thamchiuccch"/>
                <w:rFonts w:eastAsia="Times New Roman"/>
                <w:iCs/>
                <w:color w:val="auto"/>
                <w:sz w:val="24"/>
                <w:szCs w:val="24"/>
                <w:lang w:val="vi-VN"/>
              </w:rPr>
              <w:footnoteReference w:id="3"/>
            </w:r>
          </w:p>
        </w:tc>
        <w:tc>
          <w:tcPr>
            <w:tcW w:w="3628" w:type="dxa"/>
            <w:gridSpan w:val="4"/>
            <w:tcBorders>
              <w:top w:val="single" w:sz="4" w:space="0" w:color="000000"/>
              <w:left w:val="single" w:sz="4" w:space="0" w:color="000000"/>
              <w:bottom w:val="single" w:sz="4" w:space="0" w:color="000000"/>
              <w:right w:val="single" w:sz="4" w:space="0" w:color="000000"/>
            </w:tcBorders>
            <w:hideMark/>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r w:rsidRPr="00305581">
              <w:rPr>
                <w:rFonts w:eastAsia="Times New Roman"/>
                <w:iCs/>
                <w:color w:val="auto"/>
                <w:sz w:val="24"/>
                <w:szCs w:val="24"/>
                <w:lang w:val="vi-VN"/>
              </w:rPr>
              <w:t>Số người tham gia BHXH tự nguyện</w:t>
            </w:r>
          </w:p>
        </w:tc>
        <w:tc>
          <w:tcPr>
            <w:tcW w:w="1126" w:type="dxa"/>
            <w:vMerge w:val="restart"/>
            <w:tcBorders>
              <w:top w:val="single" w:sz="4" w:space="0" w:color="000000"/>
              <w:left w:val="single" w:sz="4" w:space="0" w:color="000000"/>
              <w:right w:val="single" w:sz="4" w:space="0" w:color="000000"/>
            </w:tcBorders>
          </w:tcPr>
          <w:p w:rsidR="00380515" w:rsidRPr="00305581" w:rsidRDefault="00380515" w:rsidP="00FC4301">
            <w:pPr>
              <w:widowControl w:val="0"/>
              <w:spacing w:beforeLines="40" w:before="96" w:after="120" w:line="320" w:lineRule="atLeast"/>
              <w:jc w:val="center"/>
              <w:rPr>
                <w:rFonts w:eastAsia="Times New Roman"/>
                <w:iCs/>
                <w:color w:val="auto"/>
                <w:sz w:val="24"/>
                <w:szCs w:val="24"/>
              </w:rPr>
            </w:pPr>
            <w:r w:rsidRPr="00305581">
              <w:rPr>
                <w:rFonts w:eastAsia="Times New Roman"/>
                <w:iCs/>
                <w:color w:val="auto"/>
                <w:sz w:val="24"/>
                <w:szCs w:val="24"/>
              </w:rPr>
              <w:t>Số người tham gia BHXH bắt buộc</w:t>
            </w:r>
          </w:p>
        </w:tc>
      </w:tr>
      <w:tr w:rsidR="00305581" w:rsidRPr="00EC770B" w:rsidTr="008F67F2">
        <w:trPr>
          <w:trHeight w:val="2566"/>
          <w:jc w:val="center"/>
        </w:trPr>
        <w:tc>
          <w:tcPr>
            <w:tcW w:w="839" w:type="dxa"/>
            <w:vMerge/>
            <w:tcBorders>
              <w:top w:val="single" w:sz="4" w:space="0" w:color="000000"/>
              <w:left w:val="single" w:sz="4" w:space="0" w:color="000000"/>
              <w:bottom w:val="single" w:sz="4" w:space="0" w:color="000000"/>
              <w:right w:val="single" w:sz="4" w:space="0" w:color="000000"/>
            </w:tcBorders>
            <w:vAlign w:val="center"/>
            <w:hideMark/>
          </w:tcPr>
          <w:p w:rsidR="00380515" w:rsidRPr="00305581" w:rsidRDefault="00380515" w:rsidP="00FC4301">
            <w:pPr>
              <w:spacing w:after="120" w:line="320" w:lineRule="atLeast"/>
              <w:jc w:val="center"/>
              <w:rPr>
                <w:rFonts w:eastAsia="Times New Roman"/>
                <w:iCs/>
                <w:color w:val="auto"/>
                <w:sz w:val="24"/>
                <w:szCs w:val="24"/>
                <w:lang w:val="vi-VN"/>
              </w:rPr>
            </w:pPr>
          </w:p>
        </w:tc>
        <w:tc>
          <w:tcPr>
            <w:tcW w:w="1126" w:type="dxa"/>
            <w:vMerge/>
            <w:tcBorders>
              <w:left w:val="single" w:sz="4" w:space="0" w:color="000000"/>
              <w:bottom w:val="single" w:sz="4" w:space="0" w:color="000000"/>
              <w:right w:val="single" w:sz="4" w:space="0" w:color="000000"/>
            </w:tcBorders>
            <w:vAlign w:val="center"/>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p>
        </w:tc>
        <w:tc>
          <w:tcPr>
            <w:tcW w:w="1126" w:type="dxa"/>
            <w:tcBorders>
              <w:top w:val="single" w:sz="4" w:space="0" w:color="000000"/>
              <w:left w:val="single" w:sz="4" w:space="0" w:color="000000"/>
              <w:bottom w:val="single" w:sz="4" w:space="0" w:color="000000"/>
              <w:right w:val="single" w:sz="4" w:space="0" w:color="000000"/>
            </w:tcBorders>
            <w:hideMark/>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r w:rsidRPr="00305581">
              <w:rPr>
                <w:rFonts w:eastAsia="Times New Roman"/>
                <w:iCs/>
                <w:color w:val="auto"/>
                <w:sz w:val="24"/>
                <w:szCs w:val="24"/>
                <w:lang w:val="vi-VN"/>
              </w:rPr>
              <w:t>Tổng số</w:t>
            </w:r>
          </w:p>
        </w:tc>
        <w:tc>
          <w:tcPr>
            <w:tcW w:w="940" w:type="dxa"/>
            <w:tcBorders>
              <w:top w:val="single" w:sz="4" w:space="0" w:color="000000"/>
              <w:left w:val="single" w:sz="4" w:space="0" w:color="000000"/>
              <w:bottom w:val="single" w:sz="4" w:space="0" w:color="000000"/>
              <w:right w:val="single" w:sz="4" w:space="0" w:color="000000"/>
            </w:tcBorders>
            <w:hideMark/>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r w:rsidRPr="00305581">
              <w:rPr>
                <w:rFonts w:eastAsia="Times New Roman"/>
                <w:iCs/>
                <w:color w:val="auto"/>
                <w:sz w:val="24"/>
                <w:szCs w:val="24"/>
                <w:lang w:val="vi-VN"/>
              </w:rPr>
              <w:t>Chiếm Tỷ lệ % so với lực lượng lao động trong độ tuổi</w:t>
            </w:r>
          </w:p>
        </w:tc>
        <w:tc>
          <w:tcPr>
            <w:tcW w:w="986" w:type="dxa"/>
            <w:tcBorders>
              <w:top w:val="single" w:sz="4" w:space="0" w:color="000000"/>
              <w:left w:val="single" w:sz="4" w:space="0" w:color="000000"/>
              <w:bottom w:val="single" w:sz="4" w:space="0" w:color="000000"/>
              <w:right w:val="single" w:sz="4" w:space="0" w:color="000000"/>
            </w:tcBorders>
            <w:hideMark/>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r w:rsidRPr="00305581">
              <w:rPr>
                <w:rFonts w:eastAsia="Times New Roman"/>
                <w:iCs/>
                <w:color w:val="auto"/>
                <w:sz w:val="24"/>
                <w:szCs w:val="24"/>
                <w:lang w:val="vi-VN"/>
              </w:rPr>
              <w:t>So sánh với cùng kỳ năm trước: Tăng (giảm)</w:t>
            </w:r>
          </w:p>
        </w:tc>
        <w:tc>
          <w:tcPr>
            <w:tcW w:w="940" w:type="dxa"/>
            <w:tcBorders>
              <w:top w:val="single" w:sz="4" w:space="0" w:color="000000"/>
              <w:left w:val="single" w:sz="4" w:space="0" w:color="000000"/>
              <w:bottom w:val="single" w:sz="4" w:space="0" w:color="000000"/>
              <w:right w:val="single" w:sz="4" w:space="0" w:color="000000"/>
            </w:tcBorders>
            <w:hideMark/>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r w:rsidRPr="00305581">
              <w:rPr>
                <w:rFonts w:eastAsia="Times New Roman"/>
                <w:iCs/>
                <w:color w:val="auto"/>
                <w:sz w:val="24"/>
                <w:szCs w:val="24"/>
                <w:lang w:val="vi-VN"/>
              </w:rPr>
              <w:t>Tỷ lệ % tăng (giảm) so với năm trước</w:t>
            </w:r>
          </w:p>
        </w:tc>
        <w:tc>
          <w:tcPr>
            <w:tcW w:w="986" w:type="dxa"/>
            <w:tcBorders>
              <w:top w:val="single" w:sz="4" w:space="0" w:color="000000"/>
              <w:left w:val="single" w:sz="4" w:space="0" w:color="000000"/>
              <w:bottom w:val="single" w:sz="4" w:space="0" w:color="000000"/>
              <w:right w:val="single" w:sz="4" w:space="0" w:color="000000"/>
            </w:tcBorders>
            <w:hideMark/>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r w:rsidRPr="00305581">
              <w:rPr>
                <w:rFonts w:eastAsia="Times New Roman"/>
                <w:iCs/>
                <w:color w:val="auto"/>
                <w:sz w:val="24"/>
                <w:szCs w:val="24"/>
                <w:lang w:val="vi-VN"/>
              </w:rPr>
              <w:t>Tổng số</w:t>
            </w:r>
          </w:p>
        </w:tc>
        <w:tc>
          <w:tcPr>
            <w:tcW w:w="800" w:type="dxa"/>
            <w:tcBorders>
              <w:top w:val="single" w:sz="4" w:space="0" w:color="000000"/>
              <w:left w:val="single" w:sz="4" w:space="0" w:color="000000"/>
              <w:bottom w:val="single" w:sz="4" w:space="0" w:color="000000"/>
              <w:right w:val="single" w:sz="4" w:space="0" w:color="000000"/>
            </w:tcBorders>
            <w:hideMark/>
          </w:tcPr>
          <w:p w:rsidR="00380515" w:rsidRPr="00305581" w:rsidRDefault="00380515" w:rsidP="00FC4301">
            <w:pPr>
              <w:widowControl w:val="0"/>
              <w:spacing w:beforeLines="40" w:before="96" w:after="120" w:line="320" w:lineRule="atLeast"/>
              <w:ind w:left="-76" w:right="-134"/>
              <w:jc w:val="center"/>
              <w:rPr>
                <w:rFonts w:eastAsia="Times New Roman"/>
                <w:iCs/>
                <w:color w:val="auto"/>
                <w:sz w:val="24"/>
                <w:szCs w:val="24"/>
                <w:lang w:val="vi-VN"/>
              </w:rPr>
            </w:pPr>
            <w:r w:rsidRPr="00305581">
              <w:rPr>
                <w:rFonts w:eastAsia="Times New Roman"/>
                <w:iCs/>
                <w:color w:val="auto"/>
                <w:sz w:val="24"/>
                <w:szCs w:val="24"/>
                <w:lang w:val="vi-VN"/>
              </w:rPr>
              <w:t>Chiếm Tỷ lệ % so với lực lượng lao động trong độ tuổi</w:t>
            </w:r>
          </w:p>
        </w:tc>
        <w:tc>
          <w:tcPr>
            <w:tcW w:w="856" w:type="dxa"/>
            <w:tcBorders>
              <w:top w:val="single" w:sz="4" w:space="0" w:color="000000"/>
              <w:left w:val="single" w:sz="4" w:space="0" w:color="000000"/>
              <w:bottom w:val="single" w:sz="4" w:space="0" w:color="000000"/>
              <w:right w:val="single" w:sz="4" w:space="0" w:color="000000"/>
            </w:tcBorders>
            <w:hideMark/>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r w:rsidRPr="00305581">
              <w:rPr>
                <w:rFonts w:eastAsia="Times New Roman"/>
                <w:iCs/>
                <w:color w:val="auto"/>
                <w:sz w:val="24"/>
                <w:szCs w:val="24"/>
                <w:lang w:val="vi-VN"/>
              </w:rPr>
              <w:t>So sánh với cùng kỳ năm trước: Tăng (giảm)</w:t>
            </w:r>
          </w:p>
        </w:tc>
        <w:tc>
          <w:tcPr>
            <w:tcW w:w="986" w:type="dxa"/>
            <w:tcBorders>
              <w:top w:val="single" w:sz="4" w:space="0" w:color="000000"/>
              <w:left w:val="single" w:sz="4" w:space="0" w:color="000000"/>
              <w:bottom w:val="single" w:sz="4" w:space="0" w:color="000000"/>
              <w:right w:val="single" w:sz="4" w:space="0" w:color="000000"/>
            </w:tcBorders>
            <w:hideMark/>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r w:rsidRPr="00305581">
              <w:rPr>
                <w:rFonts w:eastAsia="Times New Roman"/>
                <w:iCs/>
                <w:color w:val="auto"/>
                <w:sz w:val="24"/>
                <w:szCs w:val="24"/>
                <w:lang w:val="vi-VN"/>
              </w:rPr>
              <w:t>Tỷ lệ % tăng (giảm) so với năm trước</w:t>
            </w:r>
          </w:p>
        </w:tc>
        <w:tc>
          <w:tcPr>
            <w:tcW w:w="1126" w:type="dxa"/>
            <w:vMerge/>
            <w:tcBorders>
              <w:left w:val="single" w:sz="4" w:space="0" w:color="000000"/>
              <w:bottom w:val="single" w:sz="4" w:space="0" w:color="000000"/>
              <w:right w:val="single" w:sz="4" w:space="0" w:color="000000"/>
            </w:tcBorders>
          </w:tcPr>
          <w:p w:rsidR="00380515" w:rsidRPr="00305581" w:rsidRDefault="00380515" w:rsidP="00FC4301">
            <w:pPr>
              <w:widowControl w:val="0"/>
              <w:spacing w:beforeLines="40" w:before="96" w:after="120" w:line="320" w:lineRule="atLeast"/>
              <w:jc w:val="center"/>
              <w:rPr>
                <w:rFonts w:eastAsia="Times New Roman"/>
                <w:iCs/>
                <w:color w:val="auto"/>
                <w:sz w:val="24"/>
                <w:szCs w:val="24"/>
                <w:lang w:val="vi-VN"/>
              </w:rPr>
            </w:pPr>
          </w:p>
        </w:tc>
      </w:tr>
      <w:tr w:rsidR="00305581" w:rsidRPr="00DD659A" w:rsidTr="008F67F2">
        <w:trPr>
          <w:jc w:val="center"/>
        </w:trPr>
        <w:tc>
          <w:tcPr>
            <w:tcW w:w="839" w:type="dxa"/>
            <w:tcBorders>
              <w:top w:val="single" w:sz="4" w:space="0" w:color="000000"/>
              <w:left w:val="single" w:sz="4" w:space="0" w:color="000000"/>
              <w:bottom w:val="single" w:sz="4" w:space="0" w:color="000000"/>
              <w:right w:val="single" w:sz="4" w:space="0" w:color="000000"/>
            </w:tcBorders>
            <w:vAlign w:val="center"/>
            <w:hideMark/>
          </w:tcPr>
          <w:p w:rsidR="006F6E2B" w:rsidRPr="00DD659A" w:rsidRDefault="006F6E2B" w:rsidP="00DD659A">
            <w:pPr>
              <w:widowControl w:val="0"/>
              <w:spacing w:beforeLines="40" w:before="96" w:after="120" w:line="320" w:lineRule="atLeast"/>
              <w:jc w:val="center"/>
              <w:rPr>
                <w:rFonts w:eastAsia="Times New Roman"/>
                <w:iCs/>
                <w:color w:val="auto"/>
                <w:lang w:val="vi-VN"/>
              </w:rPr>
            </w:pPr>
            <w:r w:rsidRPr="00DD659A">
              <w:rPr>
                <w:rFonts w:eastAsia="Times New Roman"/>
                <w:iCs/>
                <w:color w:val="auto"/>
                <w:lang w:val="vi-VN"/>
              </w:rPr>
              <w:t>2022</w:t>
            </w:r>
          </w:p>
        </w:tc>
        <w:tc>
          <w:tcPr>
            <w:tcW w:w="112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718.136</w:t>
            </w:r>
          </w:p>
        </w:tc>
        <w:tc>
          <w:tcPr>
            <w:tcW w:w="112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275.805</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rsidR="006F6E2B" w:rsidRPr="00DD659A" w:rsidRDefault="006F6E2B" w:rsidP="00DD659A">
            <w:pPr>
              <w:spacing w:after="120" w:line="320" w:lineRule="atLeast"/>
              <w:jc w:val="center"/>
              <w:rPr>
                <w:color w:val="auto"/>
              </w:rPr>
            </w:pPr>
            <w:r w:rsidRPr="00DD659A">
              <w:rPr>
                <w:color w:val="auto"/>
              </w:rPr>
              <w:t>38,4%</w:t>
            </w:r>
          </w:p>
        </w:tc>
        <w:tc>
          <w:tcPr>
            <w:tcW w:w="98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64</w:t>
            </w:r>
          </w:p>
        </w:tc>
        <w:tc>
          <w:tcPr>
            <w:tcW w:w="940"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0%</w:t>
            </w:r>
          </w:p>
        </w:tc>
        <w:tc>
          <w:tcPr>
            <w:tcW w:w="98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37.936</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6F6E2B" w:rsidRPr="00DD659A" w:rsidRDefault="006F6E2B" w:rsidP="00DD659A">
            <w:pPr>
              <w:spacing w:after="120" w:line="320" w:lineRule="atLeast"/>
              <w:jc w:val="center"/>
              <w:rPr>
                <w:color w:val="auto"/>
              </w:rPr>
            </w:pPr>
            <w:r w:rsidRPr="00DD659A">
              <w:rPr>
                <w:color w:val="auto"/>
              </w:rPr>
              <w:t>5,3%</w:t>
            </w:r>
          </w:p>
        </w:tc>
        <w:tc>
          <w:tcPr>
            <w:tcW w:w="85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(106)</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6F6E2B" w:rsidRPr="00DD659A" w:rsidRDefault="006F6E2B" w:rsidP="00DD659A">
            <w:pPr>
              <w:widowControl w:val="0"/>
              <w:spacing w:beforeLines="40" w:before="96" w:after="120" w:line="320" w:lineRule="atLeast"/>
              <w:jc w:val="center"/>
              <w:rPr>
                <w:rFonts w:eastAsia="Times New Roman"/>
                <w:iCs/>
                <w:color w:val="auto"/>
                <w:lang w:val="vi-VN"/>
              </w:rPr>
            </w:pPr>
            <w:r w:rsidRPr="00DD659A">
              <w:rPr>
                <w:rFonts w:eastAsia="Times New Roman"/>
                <w:iCs/>
                <w:color w:val="auto"/>
                <w:lang w:val="vi-VN"/>
              </w:rPr>
              <w:t>(</w:t>
            </w:r>
            <w:r w:rsidRPr="00DD659A">
              <w:rPr>
                <w:rFonts w:eastAsia="Times New Roman"/>
                <w:iCs/>
                <w:color w:val="auto"/>
              </w:rPr>
              <w:t>0,3</w:t>
            </w:r>
            <w:r w:rsidRPr="00DD659A">
              <w:rPr>
                <w:rFonts w:eastAsia="Times New Roman"/>
                <w:iCs/>
                <w:color w:val="auto"/>
                <w:lang w:val="vi-VN"/>
              </w:rPr>
              <w:t>%)</w:t>
            </w:r>
          </w:p>
        </w:tc>
        <w:tc>
          <w:tcPr>
            <w:tcW w:w="112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237.869</w:t>
            </w:r>
          </w:p>
        </w:tc>
      </w:tr>
      <w:tr w:rsidR="00305581" w:rsidRPr="00DD659A" w:rsidTr="008F67F2">
        <w:trPr>
          <w:jc w:val="center"/>
        </w:trPr>
        <w:tc>
          <w:tcPr>
            <w:tcW w:w="839" w:type="dxa"/>
            <w:tcBorders>
              <w:top w:val="single" w:sz="4" w:space="0" w:color="000000"/>
              <w:left w:val="single" w:sz="4" w:space="0" w:color="000000"/>
              <w:bottom w:val="single" w:sz="4" w:space="0" w:color="000000"/>
              <w:right w:val="single" w:sz="4" w:space="0" w:color="000000"/>
            </w:tcBorders>
            <w:vAlign w:val="center"/>
            <w:hideMark/>
          </w:tcPr>
          <w:p w:rsidR="006F6E2B" w:rsidRPr="00DD659A" w:rsidRDefault="006F6E2B" w:rsidP="00DD659A">
            <w:pPr>
              <w:widowControl w:val="0"/>
              <w:spacing w:beforeLines="40" w:before="96" w:after="120" w:line="320" w:lineRule="atLeast"/>
              <w:jc w:val="center"/>
              <w:rPr>
                <w:rFonts w:eastAsia="Times New Roman"/>
                <w:iCs/>
                <w:color w:val="auto"/>
                <w:lang w:val="vi-VN"/>
              </w:rPr>
            </w:pPr>
            <w:r w:rsidRPr="00DD659A">
              <w:rPr>
                <w:rFonts w:eastAsia="Times New Roman"/>
                <w:iCs/>
                <w:color w:val="auto"/>
                <w:lang w:val="vi-VN"/>
              </w:rPr>
              <w:t>2023</w:t>
            </w:r>
          </w:p>
        </w:tc>
        <w:tc>
          <w:tcPr>
            <w:tcW w:w="112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720.692</w:t>
            </w:r>
          </w:p>
        </w:tc>
        <w:tc>
          <w:tcPr>
            <w:tcW w:w="112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277.373</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rsidR="006F6E2B" w:rsidRPr="00DD659A" w:rsidRDefault="006F6E2B" w:rsidP="00DD659A">
            <w:pPr>
              <w:spacing w:after="120" w:line="320" w:lineRule="atLeast"/>
              <w:jc w:val="center"/>
              <w:rPr>
                <w:color w:val="auto"/>
              </w:rPr>
            </w:pPr>
            <w:r w:rsidRPr="00DD659A">
              <w:rPr>
                <w:color w:val="auto"/>
              </w:rPr>
              <w:t>38,5%</w:t>
            </w:r>
          </w:p>
        </w:tc>
        <w:tc>
          <w:tcPr>
            <w:tcW w:w="98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1.568</w:t>
            </w:r>
          </w:p>
        </w:tc>
        <w:tc>
          <w:tcPr>
            <w:tcW w:w="940"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0,6%</w:t>
            </w:r>
          </w:p>
        </w:tc>
        <w:tc>
          <w:tcPr>
            <w:tcW w:w="98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37.761</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6F6E2B" w:rsidRPr="00DD659A" w:rsidRDefault="006F6E2B" w:rsidP="00DD659A">
            <w:pPr>
              <w:spacing w:after="120" w:line="320" w:lineRule="atLeast"/>
              <w:jc w:val="center"/>
              <w:rPr>
                <w:color w:val="auto"/>
              </w:rPr>
            </w:pPr>
            <w:r w:rsidRPr="00DD659A">
              <w:rPr>
                <w:color w:val="auto"/>
              </w:rPr>
              <w:t>5,2%</w:t>
            </w:r>
          </w:p>
        </w:tc>
        <w:tc>
          <w:tcPr>
            <w:tcW w:w="85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(175)</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(0,5</w:t>
            </w:r>
            <w:r w:rsidRPr="00DD659A">
              <w:rPr>
                <w:rFonts w:eastAsia="Times New Roman"/>
                <w:iCs/>
                <w:color w:val="auto"/>
                <w:lang w:val="vi-VN"/>
              </w:rPr>
              <w:t>%</w:t>
            </w:r>
            <w:r w:rsidRPr="00DD659A">
              <w:rPr>
                <w:rFonts w:eastAsia="Times New Roman"/>
                <w:iCs/>
                <w:color w:val="auto"/>
              </w:rPr>
              <w:t>)</w:t>
            </w:r>
          </w:p>
        </w:tc>
        <w:tc>
          <w:tcPr>
            <w:tcW w:w="1126" w:type="dxa"/>
            <w:tcBorders>
              <w:top w:val="single" w:sz="4" w:space="0" w:color="000000"/>
              <w:left w:val="single" w:sz="4" w:space="0" w:color="000000"/>
              <w:bottom w:val="single" w:sz="4" w:space="0" w:color="000000"/>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239.612</w:t>
            </w:r>
          </w:p>
        </w:tc>
      </w:tr>
      <w:tr w:rsidR="00305581" w:rsidRPr="00DD659A" w:rsidTr="008F67F2">
        <w:trPr>
          <w:jc w:val="center"/>
        </w:trPr>
        <w:tc>
          <w:tcPr>
            <w:tcW w:w="839" w:type="dxa"/>
            <w:tcBorders>
              <w:top w:val="single" w:sz="4" w:space="0" w:color="000000"/>
              <w:left w:val="single" w:sz="4" w:space="0" w:color="000000"/>
              <w:bottom w:val="single" w:sz="4" w:space="0" w:color="auto"/>
              <w:right w:val="single" w:sz="4" w:space="0" w:color="000000"/>
            </w:tcBorders>
            <w:vAlign w:val="center"/>
            <w:hideMark/>
          </w:tcPr>
          <w:p w:rsidR="006F6E2B" w:rsidRPr="00DD659A" w:rsidRDefault="006F6E2B" w:rsidP="00DD659A">
            <w:pPr>
              <w:widowControl w:val="0"/>
              <w:spacing w:beforeLines="40" w:before="96" w:after="120" w:line="320" w:lineRule="atLeast"/>
              <w:jc w:val="center"/>
              <w:rPr>
                <w:rFonts w:eastAsia="Times New Roman"/>
                <w:iCs/>
                <w:color w:val="auto"/>
                <w:lang w:val="vi-VN"/>
              </w:rPr>
            </w:pPr>
            <w:r w:rsidRPr="00DD659A">
              <w:rPr>
                <w:rFonts w:eastAsia="Times New Roman"/>
                <w:iCs/>
                <w:color w:val="auto"/>
                <w:lang w:val="vi-VN"/>
              </w:rPr>
              <w:t>2024</w:t>
            </w:r>
          </w:p>
        </w:tc>
        <w:tc>
          <w:tcPr>
            <w:tcW w:w="1126" w:type="dxa"/>
            <w:tcBorders>
              <w:top w:val="single" w:sz="4" w:space="0" w:color="000000"/>
              <w:left w:val="single" w:sz="4" w:space="0" w:color="000000"/>
              <w:bottom w:val="single" w:sz="4" w:space="0" w:color="auto"/>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725.264</w:t>
            </w:r>
          </w:p>
        </w:tc>
        <w:tc>
          <w:tcPr>
            <w:tcW w:w="1126" w:type="dxa"/>
            <w:tcBorders>
              <w:top w:val="single" w:sz="4" w:space="0" w:color="000000"/>
              <w:left w:val="single" w:sz="4" w:space="0" w:color="000000"/>
              <w:bottom w:val="single" w:sz="4" w:space="0" w:color="auto"/>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288.072</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rsidR="006F6E2B" w:rsidRPr="00DD659A" w:rsidRDefault="006F6E2B" w:rsidP="00DD659A">
            <w:pPr>
              <w:spacing w:after="120" w:line="320" w:lineRule="atLeast"/>
              <w:jc w:val="center"/>
              <w:rPr>
                <w:color w:val="auto"/>
              </w:rPr>
            </w:pPr>
            <w:r w:rsidRPr="00DD659A">
              <w:rPr>
                <w:color w:val="auto"/>
              </w:rPr>
              <w:t>39,7%</w:t>
            </w:r>
          </w:p>
        </w:tc>
        <w:tc>
          <w:tcPr>
            <w:tcW w:w="986" w:type="dxa"/>
            <w:tcBorders>
              <w:top w:val="single" w:sz="4" w:space="0" w:color="000000"/>
              <w:left w:val="single" w:sz="4" w:space="0" w:color="000000"/>
              <w:bottom w:val="single" w:sz="4" w:space="0" w:color="auto"/>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10.699</w:t>
            </w:r>
          </w:p>
        </w:tc>
        <w:tc>
          <w:tcPr>
            <w:tcW w:w="940" w:type="dxa"/>
            <w:tcBorders>
              <w:top w:val="single" w:sz="4" w:space="0" w:color="000000"/>
              <w:left w:val="single" w:sz="4" w:space="0" w:color="000000"/>
              <w:bottom w:val="single" w:sz="4" w:space="0" w:color="auto"/>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3,9%</w:t>
            </w:r>
          </w:p>
        </w:tc>
        <w:tc>
          <w:tcPr>
            <w:tcW w:w="986" w:type="dxa"/>
            <w:tcBorders>
              <w:top w:val="single" w:sz="4" w:space="0" w:color="000000"/>
              <w:left w:val="single" w:sz="4" w:space="0" w:color="000000"/>
              <w:bottom w:val="single" w:sz="4" w:space="0" w:color="auto"/>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41.916</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6F6E2B" w:rsidRPr="00DD659A" w:rsidRDefault="006F6E2B" w:rsidP="00DD659A">
            <w:pPr>
              <w:spacing w:after="120" w:line="320" w:lineRule="atLeast"/>
              <w:jc w:val="center"/>
              <w:rPr>
                <w:color w:val="auto"/>
              </w:rPr>
            </w:pPr>
            <w:r w:rsidRPr="00DD659A">
              <w:rPr>
                <w:color w:val="auto"/>
              </w:rPr>
              <w:t>5,8%</w:t>
            </w:r>
          </w:p>
        </w:tc>
        <w:tc>
          <w:tcPr>
            <w:tcW w:w="856" w:type="dxa"/>
            <w:tcBorders>
              <w:top w:val="single" w:sz="4" w:space="0" w:color="000000"/>
              <w:left w:val="single" w:sz="4" w:space="0" w:color="000000"/>
              <w:bottom w:val="single" w:sz="4" w:space="0" w:color="auto"/>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4.155</w:t>
            </w:r>
          </w:p>
        </w:tc>
        <w:tc>
          <w:tcPr>
            <w:tcW w:w="986" w:type="dxa"/>
            <w:tcBorders>
              <w:top w:val="single" w:sz="4" w:space="0" w:color="000000"/>
              <w:left w:val="single" w:sz="4" w:space="0" w:color="000000"/>
              <w:bottom w:val="single" w:sz="4" w:space="0" w:color="auto"/>
              <w:right w:val="single" w:sz="4" w:space="0" w:color="000000"/>
            </w:tcBorders>
            <w:vAlign w:val="center"/>
            <w:hideMark/>
          </w:tcPr>
          <w:p w:rsidR="006F6E2B" w:rsidRPr="00DD659A" w:rsidRDefault="006F6E2B" w:rsidP="00DD659A">
            <w:pPr>
              <w:widowControl w:val="0"/>
              <w:spacing w:beforeLines="40" w:before="96" w:after="120" w:line="320" w:lineRule="atLeast"/>
              <w:jc w:val="center"/>
              <w:rPr>
                <w:rFonts w:eastAsia="Times New Roman"/>
                <w:iCs/>
                <w:color w:val="auto"/>
                <w:lang w:val="vi-VN"/>
              </w:rPr>
            </w:pPr>
            <w:r w:rsidRPr="00DD659A">
              <w:rPr>
                <w:rFonts w:eastAsia="Times New Roman"/>
                <w:iCs/>
                <w:color w:val="auto"/>
              </w:rPr>
              <w:t>11,0</w:t>
            </w:r>
            <w:r w:rsidRPr="00DD659A">
              <w:rPr>
                <w:rFonts w:eastAsia="Times New Roman"/>
                <w:iCs/>
                <w:color w:val="auto"/>
                <w:lang w:val="vi-VN"/>
              </w:rPr>
              <w:t>%</w:t>
            </w:r>
          </w:p>
        </w:tc>
        <w:tc>
          <w:tcPr>
            <w:tcW w:w="1126" w:type="dxa"/>
            <w:tcBorders>
              <w:top w:val="single" w:sz="4" w:space="0" w:color="000000"/>
              <w:left w:val="single" w:sz="4" w:space="0" w:color="000000"/>
              <w:bottom w:val="single" w:sz="4" w:space="0" w:color="auto"/>
              <w:right w:val="single" w:sz="4" w:space="0" w:color="000000"/>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246.156</w:t>
            </w:r>
          </w:p>
        </w:tc>
      </w:tr>
      <w:tr w:rsidR="00305581" w:rsidRPr="00DD659A" w:rsidTr="008F67F2">
        <w:trPr>
          <w:trHeight w:val="1061"/>
          <w:jc w:val="center"/>
        </w:trPr>
        <w:tc>
          <w:tcPr>
            <w:tcW w:w="839" w:type="dxa"/>
            <w:tcBorders>
              <w:top w:val="single" w:sz="4" w:space="0" w:color="auto"/>
              <w:left w:val="single" w:sz="4" w:space="0" w:color="auto"/>
              <w:bottom w:val="single" w:sz="4" w:space="0" w:color="auto"/>
              <w:right w:val="single" w:sz="4" w:space="0" w:color="auto"/>
            </w:tcBorders>
            <w:vAlign w:val="center"/>
            <w:hideMark/>
          </w:tcPr>
          <w:p w:rsidR="006F6E2B" w:rsidRPr="00DD659A" w:rsidRDefault="006F6E2B" w:rsidP="00DD659A">
            <w:pPr>
              <w:widowControl w:val="0"/>
              <w:spacing w:beforeLines="40" w:before="96" w:after="120" w:line="320" w:lineRule="atLeast"/>
              <w:jc w:val="center"/>
              <w:rPr>
                <w:rFonts w:eastAsia="Times New Roman"/>
                <w:iCs/>
                <w:color w:val="auto"/>
                <w:lang w:val="vi-VN"/>
              </w:rPr>
            </w:pPr>
            <w:r w:rsidRPr="00DD659A">
              <w:rPr>
                <w:rFonts w:eastAsia="Times New Roman"/>
                <w:iCs/>
                <w:color w:val="auto"/>
              </w:rPr>
              <w:lastRenderedPageBreak/>
              <w:t>N</w:t>
            </w:r>
            <w:r w:rsidRPr="00DD659A">
              <w:rPr>
                <w:rFonts w:eastAsia="Times New Roman"/>
                <w:iCs/>
                <w:color w:val="auto"/>
                <w:lang w:val="vi-VN"/>
              </w:rPr>
              <w:t>ăm 2025</w:t>
            </w:r>
          </w:p>
        </w:tc>
        <w:tc>
          <w:tcPr>
            <w:tcW w:w="112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718.862</w:t>
            </w:r>
          </w:p>
        </w:tc>
        <w:tc>
          <w:tcPr>
            <w:tcW w:w="112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323.452</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6E2B" w:rsidRPr="00DD659A" w:rsidRDefault="006F6E2B" w:rsidP="00DD659A">
            <w:pPr>
              <w:spacing w:after="120" w:line="320" w:lineRule="atLeast"/>
              <w:jc w:val="center"/>
              <w:rPr>
                <w:color w:val="auto"/>
              </w:rPr>
            </w:pPr>
            <w:r w:rsidRPr="00DD659A">
              <w:rPr>
                <w:color w:val="auto"/>
              </w:rPr>
              <w:t>45,0%</w:t>
            </w:r>
          </w:p>
        </w:tc>
        <w:tc>
          <w:tcPr>
            <w:tcW w:w="98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35.380</w:t>
            </w:r>
          </w:p>
        </w:tc>
        <w:tc>
          <w:tcPr>
            <w:tcW w:w="940"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12,3%</w:t>
            </w:r>
          </w:p>
        </w:tc>
        <w:tc>
          <w:tcPr>
            <w:tcW w:w="98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50.314</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6E2B" w:rsidRPr="00DD659A" w:rsidRDefault="006F6E2B" w:rsidP="00DD659A">
            <w:pPr>
              <w:spacing w:after="120" w:line="320" w:lineRule="atLeast"/>
              <w:jc w:val="center"/>
              <w:rPr>
                <w:color w:val="auto"/>
              </w:rPr>
            </w:pPr>
            <w:r w:rsidRPr="00DD659A">
              <w:rPr>
                <w:color w:val="auto"/>
              </w:rPr>
              <w:t>7,0%</w:t>
            </w:r>
          </w:p>
        </w:tc>
        <w:tc>
          <w:tcPr>
            <w:tcW w:w="85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8.398</w:t>
            </w:r>
          </w:p>
        </w:tc>
        <w:tc>
          <w:tcPr>
            <w:tcW w:w="986" w:type="dxa"/>
            <w:tcBorders>
              <w:top w:val="single" w:sz="4" w:space="0" w:color="auto"/>
              <w:left w:val="single" w:sz="4" w:space="0" w:color="auto"/>
              <w:bottom w:val="single" w:sz="4" w:space="0" w:color="auto"/>
              <w:right w:val="single" w:sz="4" w:space="0" w:color="auto"/>
            </w:tcBorders>
            <w:vAlign w:val="center"/>
            <w:hideMark/>
          </w:tcPr>
          <w:p w:rsidR="006F6E2B" w:rsidRPr="00DD659A" w:rsidRDefault="006F6E2B" w:rsidP="00DD659A">
            <w:pPr>
              <w:widowControl w:val="0"/>
              <w:spacing w:beforeLines="40" w:before="96" w:after="120" w:line="320" w:lineRule="atLeast"/>
              <w:jc w:val="center"/>
              <w:rPr>
                <w:rFonts w:eastAsia="Times New Roman"/>
                <w:iCs/>
                <w:color w:val="auto"/>
                <w:lang w:val="vi-VN"/>
              </w:rPr>
            </w:pPr>
            <w:r w:rsidRPr="00DD659A">
              <w:rPr>
                <w:rFonts w:eastAsia="Times New Roman"/>
                <w:iCs/>
                <w:color w:val="auto"/>
              </w:rPr>
              <w:t>20,0</w:t>
            </w:r>
            <w:r w:rsidRPr="00DD659A">
              <w:rPr>
                <w:rFonts w:eastAsia="Times New Roman"/>
                <w:iCs/>
                <w:color w:val="auto"/>
                <w:lang w:val="vi-VN"/>
              </w:rPr>
              <w:t>%</w:t>
            </w:r>
          </w:p>
        </w:tc>
        <w:tc>
          <w:tcPr>
            <w:tcW w:w="112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273.138</w:t>
            </w:r>
          </w:p>
        </w:tc>
      </w:tr>
      <w:tr w:rsidR="00305581" w:rsidRPr="00DD659A" w:rsidTr="008F67F2">
        <w:trPr>
          <w:trHeight w:val="1061"/>
          <w:jc w:val="center"/>
        </w:trPr>
        <w:tc>
          <w:tcPr>
            <w:tcW w:w="839"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5 tháng đầu năm 2026</w:t>
            </w:r>
          </w:p>
        </w:tc>
        <w:tc>
          <w:tcPr>
            <w:tcW w:w="1126" w:type="dxa"/>
            <w:tcBorders>
              <w:top w:val="single" w:sz="4" w:space="0" w:color="auto"/>
              <w:left w:val="single" w:sz="4" w:space="0" w:color="auto"/>
              <w:bottom w:val="single" w:sz="4" w:space="0" w:color="auto"/>
              <w:right w:val="single" w:sz="4" w:space="0" w:color="auto"/>
            </w:tcBorders>
            <w:vAlign w:val="center"/>
          </w:tcPr>
          <w:p w:rsidR="006F6E2B" w:rsidRPr="00DD659A" w:rsidRDefault="0027798F"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741.</w:t>
            </w:r>
            <w:r w:rsidR="002E49DB" w:rsidRPr="00DD659A">
              <w:rPr>
                <w:rFonts w:eastAsia="Times New Roman"/>
                <w:iCs/>
                <w:color w:val="auto"/>
              </w:rPr>
              <w:t>0</w:t>
            </w:r>
            <w:r w:rsidRPr="00DD659A">
              <w:rPr>
                <w:rFonts w:eastAsia="Times New Roman"/>
                <w:iCs/>
                <w:color w:val="auto"/>
              </w:rPr>
              <w:t>00</w:t>
            </w:r>
          </w:p>
        </w:tc>
        <w:tc>
          <w:tcPr>
            <w:tcW w:w="112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335.943</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6F6E2B" w:rsidRPr="00DD659A" w:rsidRDefault="006F6E2B" w:rsidP="00DD659A">
            <w:pPr>
              <w:spacing w:after="120" w:line="320" w:lineRule="atLeast"/>
              <w:jc w:val="center"/>
              <w:rPr>
                <w:color w:val="auto"/>
              </w:rPr>
            </w:pPr>
            <w:r w:rsidRPr="00DD659A">
              <w:rPr>
                <w:color w:val="auto"/>
              </w:rPr>
              <w:t>45</w:t>
            </w:r>
            <w:r w:rsidR="0027798F" w:rsidRPr="00DD659A">
              <w:rPr>
                <w:color w:val="auto"/>
              </w:rPr>
              <w:t>,3</w:t>
            </w:r>
            <w:r w:rsidRPr="00DD659A">
              <w:rPr>
                <w:color w:val="auto"/>
              </w:rPr>
              <w:t>%</w:t>
            </w:r>
          </w:p>
        </w:tc>
        <w:tc>
          <w:tcPr>
            <w:tcW w:w="98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12.491</w:t>
            </w:r>
          </w:p>
        </w:tc>
        <w:tc>
          <w:tcPr>
            <w:tcW w:w="940"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3,9%</w:t>
            </w:r>
          </w:p>
        </w:tc>
        <w:tc>
          <w:tcPr>
            <w:tcW w:w="98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50.527</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tcPr>
          <w:p w:rsidR="006F6E2B" w:rsidRPr="00DD659A" w:rsidRDefault="006F6E2B" w:rsidP="00DD659A">
            <w:pPr>
              <w:spacing w:after="120" w:line="320" w:lineRule="atLeast"/>
              <w:jc w:val="center"/>
              <w:rPr>
                <w:color w:val="auto"/>
              </w:rPr>
            </w:pPr>
            <w:r w:rsidRPr="00DD659A">
              <w:rPr>
                <w:color w:val="auto"/>
              </w:rPr>
              <w:t>6,</w:t>
            </w:r>
            <w:r w:rsidR="002E49DB" w:rsidRPr="00DD659A">
              <w:rPr>
                <w:color w:val="auto"/>
              </w:rPr>
              <w:t>9</w:t>
            </w:r>
            <w:r w:rsidRPr="00DD659A">
              <w:rPr>
                <w:color w:val="auto"/>
              </w:rPr>
              <w:t>%</w:t>
            </w:r>
          </w:p>
        </w:tc>
        <w:tc>
          <w:tcPr>
            <w:tcW w:w="85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213</w:t>
            </w:r>
          </w:p>
        </w:tc>
        <w:tc>
          <w:tcPr>
            <w:tcW w:w="98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0,4%</w:t>
            </w:r>
          </w:p>
        </w:tc>
        <w:tc>
          <w:tcPr>
            <w:tcW w:w="1126" w:type="dxa"/>
            <w:tcBorders>
              <w:top w:val="single" w:sz="4" w:space="0" w:color="auto"/>
              <w:left w:val="single" w:sz="4" w:space="0" w:color="auto"/>
              <w:bottom w:val="single" w:sz="4" w:space="0" w:color="auto"/>
              <w:right w:val="single" w:sz="4" w:space="0" w:color="auto"/>
            </w:tcBorders>
            <w:vAlign w:val="center"/>
          </w:tcPr>
          <w:p w:rsidR="006F6E2B" w:rsidRPr="00DD659A" w:rsidRDefault="006F6E2B" w:rsidP="00DD659A">
            <w:pPr>
              <w:widowControl w:val="0"/>
              <w:spacing w:beforeLines="40" w:before="96" w:after="120" w:line="320" w:lineRule="atLeast"/>
              <w:jc w:val="center"/>
              <w:rPr>
                <w:rFonts w:eastAsia="Times New Roman"/>
                <w:iCs/>
                <w:color w:val="auto"/>
              </w:rPr>
            </w:pPr>
            <w:r w:rsidRPr="00DD659A">
              <w:rPr>
                <w:rFonts w:eastAsia="Times New Roman"/>
                <w:iCs/>
                <w:color w:val="auto"/>
              </w:rPr>
              <w:t>285.416</w:t>
            </w:r>
          </w:p>
        </w:tc>
      </w:tr>
    </w:tbl>
    <w:p w:rsidR="00FF6DE7" w:rsidRPr="00305581" w:rsidRDefault="00380515" w:rsidP="00DD659A">
      <w:pPr>
        <w:widowControl w:val="0"/>
        <w:spacing w:line="312" w:lineRule="auto"/>
        <w:ind w:firstLine="709"/>
        <w:jc w:val="both"/>
        <w:rPr>
          <w:rFonts w:eastAsia="Times New Roman"/>
          <w:i/>
          <w:color w:val="auto"/>
          <w:lang w:val="es-ES" w:eastAsia="vi-VN"/>
        </w:rPr>
      </w:pPr>
      <w:r w:rsidRPr="00305581">
        <w:rPr>
          <w:rFonts w:eastAsia="Times New Roman"/>
          <w:i/>
          <w:color w:val="auto"/>
          <w:lang w:val="es-ES" w:eastAsia="vi-VN"/>
        </w:rPr>
        <w:t xml:space="preserve"> - </w:t>
      </w:r>
      <w:r w:rsidR="00FF6DE7" w:rsidRPr="00305581">
        <w:rPr>
          <w:rFonts w:eastAsia="Times New Roman"/>
          <w:i/>
          <w:color w:val="auto"/>
          <w:lang w:val="es-ES" w:eastAsia="vi-VN"/>
        </w:rPr>
        <w:t>Tình hình tham gia</w:t>
      </w:r>
      <w:r w:rsidR="00BC58BA" w:rsidRPr="00305581">
        <w:rPr>
          <w:rFonts w:eastAsia="Times New Roman"/>
          <w:i/>
          <w:color w:val="auto"/>
          <w:lang w:val="es-ES" w:eastAsia="vi-VN"/>
        </w:rPr>
        <w:t xml:space="preserve"> </w:t>
      </w:r>
      <w:r w:rsidR="00B31230" w:rsidRPr="00305581">
        <w:rPr>
          <w:rFonts w:eastAsia="Times New Roman"/>
          <w:i/>
          <w:color w:val="auto"/>
          <w:lang w:val="vi-VN" w:eastAsia="vi-VN"/>
        </w:rPr>
        <w:t>BHXH</w:t>
      </w:r>
      <w:r w:rsidR="00BC58BA" w:rsidRPr="00305581">
        <w:rPr>
          <w:rFonts w:eastAsia="Times New Roman"/>
          <w:i/>
          <w:color w:val="auto"/>
          <w:lang w:val="es-ES" w:eastAsia="vi-VN"/>
        </w:rPr>
        <w:t xml:space="preserve"> </w:t>
      </w:r>
      <w:r w:rsidR="001E5E4E" w:rsidRPr="00305581">
        <w:rPr>
          <w:rFonts w:eastAsia="Times New Roman"/>
          <w:i/>
          <w:color w:val="auto"/>
          <w:lang w:val="es-ES" w:eastAsia="vi-VN"/>
        </w:rPr>
        <w:t>bắt buộc</w:t>
      </w:r>
      <w:r w:rsidR="002447CF" w:rsidRPr="00305581">
        <w:rPr>
          <w:rFonts w:eastAsia="Times New Roman"/>
          <w:i/>
          <w:color w:val="auto"/>
          <w:lang w:val="es-ES" w:eastAsia="vi-VN"/>
        </w:rPr>
        <w:t xml:space="preserve"> của các cơ sở sản xuất kinh doanh</w:t>
      </w:r>
      <w:r w:rsidRPr="00305581">
        <w:rPr>
          <w:rFonts w:eastAsia="Times New Roman"/>
          <w:i/>
          <w:color w:val="auto"/>
          <w:lang w:val="es-ES" w:eastAsia="vi-VN"/>
        </w:rPr>
        <w:t xml:space="preserve"> trên địa bàn</w:t>
      </w:r>
      <w:r w:rsidR="002447CF" w:rsidRPr="00305581">
        <w:rPr>
          <w:rFonts w:eastAsia="Times New Roman"/>
          <w:i/>
          <w:color w:val="auto"/>
          <w:lang w:val="es-ES" w:eastAsia="vi-VN"/>
        </w:rPr>
        <w:t>:</w:t>
      </w:r>
    </w:p>
    <w:p w:rsidR="005610FA" w:rsidRPr="00305581" w:rsidRDefault="00FF6DE7" w:rsidP="00DD659A">
      <w:pPr>
        <w:widowControl w:val="0"/>
        <w:spacing w:line="312" w:lineRule="auto"/>
        <w:ind w:firstLine="709"/>
        <w:jc w:val="both"/>
        <w:rPr>
          <w:rFonts w:eastAsia="Times New Roman"/>
          <w:color w:val="auto"/>
          <w:lang w:val="es-ES" w:eastAsia="vi-VN"/>
        </w:rPr>
      </w:pPr>
      <w:r w:rsidRPr="00305581">
        <w:rPr>
          <w:rFonts w:eastAsia="Times New Roman"/>
          <w:color w:val="auto"/>
          <w:lang w:val="es-ES" w:eastAsia="vi-VN"/>
        </w:rPr>
        <w:t xml:space="preserve">Theo số liệu quản lý của </w:t>
      </w:r>
      <w:r w:rsidR="00BC58BA" w:rsidRPr="00305581">
        <w:rPr>
          <w:rFonts w:eastAsia="Times New Roman"/>
          <w:color w:val="auto"/>
          <w:lang w:val="es-ES" w:eastAsia="vi-VN"/>
        </w:rPr>
        <w:t>BHXH</w:t>
      </w:r>
      <w:r w:rsidR="00BC58BA" w:rsidRPr="00305581">
        <w:rPr>
          <w:rFonts w:eastAsia="Times New Roman"/>
          <w:b/>
          <w:i/>
          <w:color w:val="auto"/>
          <w:lang w:val="es-ES" w:eastAsia="vi-VN"/>
        </w:rPr>
        <w:t xml:space="preserve"> </w:t>
      </w:r>
      <w:r w:rsidRPr="00305581">
        <w:rPr>
          <w:rFonts w:eastAsia="Times New Roman"/>
          <w:color w:val="auto"/>
          <w:lang w:val="es-ES" w:eastAsia="vi-VN"/>
        </w:rPr>
        <w:t xml:space="preserve">tỉnh, </w:t>
      </w:r>
      <w:r w:rsidR="00B31230" w:rsidRPr="00305581">
        <w:rPr>
          <w:rFonts w:eastAsia="Times New Roman"/>
          <w:color w:val="auto"/>
          <w:lang w:val="es-ES" w:eastAsia="vi-VN"/>
        </w:rPr>
        <w:t xml:space="preserve">đến tháng </w:t>
      </w:r>
      <w:r w:rsidR="005610FA" w:rsidRPr="00305581">
        <w:rPr>
          <w:rFonts w:eastAsia="Times New Roman"/>
          <w:color w:val="auto"/>
          <w:lang w:val="es-ES" w:eastAsia="vi-VN"/>
        </w:rPr>
        <w:t>5/2026</w:t>
      </w:r>
      <w:r w:rsidR="007069B1" w:rsidRPr="00305581">
        <w:rPr>
          <w:rFonts w:eastAsia="Times New Roman"/>
          <w:color w:val="auto"/>
          <w:lang w:val="es-ES" w:eastAsia="vi-VN"/>
        </w:rPr>
        <w:t xml:space="preserve"> toàn tỉnh có </w:t>
      </w:r>
      <w:r w:rsidR="005610FA" w:rsidRPr="00305581">
        <w:rPr>
          <w:rFonts w:eastAsia="Times New Roman"/>
          <w:color w:val="auto"/>
          <w:lang w:val="es-ES" w:eastAsia="vi-VN"/>
        </w:rPr>
        <w:t>12.362 đơn vị tham gia BHXH bắt buộc cho 285.426 lao động, trong đó có 4.106 hộ kinh doanh tham gia BHXH cho 5.022 lao động, 226 hợp tác xã tham gia BHXH cho 1.377 lao động, 6.027 doanh nghiệp tham gia BHXH cho 206.525 lao động.</w:t>
      </w:r>
    </w:p>
    <w:p w:rsidR="001E5E4E" w:rsidRPr="00305581" w:rsidRDefault="00380515" w:rsidP="00DD659A">
      <w:pPr>
        <w:widowControl w:val="0"/>
        <w:spacing w:line="312" w:lineRule="auto"/>
        <w:ind w:firstLine="709"/>
        <w:jc w:val="both"/>
        <w:rPr>
          <w:rFonts w:eastAsia="Times New Roman"/>
          <w:i/>
          <w:color w:val="auto"/>
          <w:lang w:val="vi-VN" w:eastAsia="vi-VN"/>
        </w:rPr>
      </w:pPr>
      <w:r w:rsidRPr="00305581">
        <w:rPr>
          <w:rFonts w:eastAsia="Times New Roman"/>
          <w:i/>
          <w:color w:val="auto"/>
          <w:lang w:val="es-ES" w:eastAsia="vi-VN"/>
        </w:rPr>
        <w:t xml:space="preserve">- </w:t>
      </w:r>
      <w:r w:rsidR="001E5E4E" w:rsidRPr="00305581">
        <w:rPr>
          <w:rFonts w:eastAsia="Times New Roman"/>
          <w:i/>
          <w:color w:val="auto"/>
          <w:lang w:val="es-ES" w:eastAsia="vi-VN"/>
        </w:rPr>
        <w:t xml:space="preserve">Tình hình tham gia </w:t>
      </w:r>
      <w:r w:rsidR="00B31230" w:rsidRPr="00305581">
        <w:rPr>
          <w:rFonts w:eastAsia="Times New Roman"/>
          <w:i/>
          <w:color w:val="auto"/>
          <w:lang w:val="vi-VN" w:eastAsia="vi-VN"/>
        </w:rPr>
        <w:t>BHXH</w:t>
      </w:r>
      <w:r w:rsidR="001E5E4E" w:rsidRPr="00305581">
        <w:rPr>
          <w:rFonts w:eastAsia="Times New Roman"/>
          <w:i/>
          <w:color w:val="auto"/>
          <w:lang w:val="es-ES" w:eastAsia="vi-VN"/>
        </w:rPr>
        <w:t xml:space="preserve"> tự nguyện</w:t>
      </w:r>
      <w:r w:rsidRPr="00305581">
        <w:rPr>
          <w:rFonts w:eastAsia="Times New Roman"/>
          <w:i/>
          <w:color w:val="auto"/>
          <w:lang w:val="es-ES" w:eastAsia="vi-VN"/>
        </w:rPr>
        <w:t xml:space="preserve"> theo nhóm đối</w:t>
      </w:r>
      <w:r w:rsidR="00B31230" w:rsidRPr="00305581">
        <w:rPr>
          <w:rFonts w:eastAsia="Times New Roman"/>
          <w:i/>
          <w:color w:val="auto"/>
          <w:lang w:val="es-ES" w:eastAsia="vi-VN"/>
        </w:rPr>
        <w:t xml:space="preserve"> tượn</w:t>
      </w:r>
      <w:r w:rsidR="00B31230" w:rsidRPr="00305581">
        <w:rPr>
          <w:rFonts w:eastAsia="Times New Roman"/>
          <w:i/>
          <w:color w:val="auto"/>
          <w:lang w:val="vi-VN" w:eastAsia="vi-VN"/>
        </w:rPr>
        <w:t>g:</w:t>
      </w:r>
    </w:p>
    <w:tbl>
      <w:tblPr>
        <w:tblW w:w="9049" w:type="dxa"/>
        <w:tblInd w:w="93" w:type="dxa"/>
        <w:tblLook w:val="04A0" w:firstRow="1" w:lastRow="0" w:firstColumn="1" w:lastColumn="0" w:noHBand="0" w:noVBand="1"/>
      </w:tblPr>
      <w:tblGrid>
        <w:gridCol w:w="746"/>
        <w:gridCol w:w="1537"/>
        <w:gridCol w:w="1522"/>
        <w:gridCol w:w="1155"/>
        <w:gridCol w:w="1276"/>
        <w:gridCol w:w="1418"/>
        <w:gridCol w:w="1395"/>
      </w:tblGrid>
      <w:tr w:rsidR="00305581" w:rsidRPr="00305581" w:rsidTr="00380515">
        <w:trPr>
          <w:trHeight w:val="630"/>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5E4E" w:rsidRPr="00305581" w:rsidRDefault="001E5E4E" w:rsidP="00FC4301">
            <w:pPr>
              <w:spacing w:after="120" w:line="320" w:lineRule="atLeast"/>
              <w:jc w:val="center"/>
              <w:rPr>
                <w:rFonts w:eastAsia="Times New Roman"/>
                <w:b/>
                <w:bCs/>
                <w:color w:val="auto"/>
              </w:rPr>
            </w:pPr>
            <w:r w:rsidRPr="00305581">
              <w:rPr>
                <w:rFonts w:eastAsia="Times New Roman"/>
                <w:b/>
                <w:bCs/>
                <w:color w:val="auto"/>
              </w:rPr>
              <w:t>STT</w:t>
            </w:r>
          </w:p>
        </w:tc>
        <w:tc>
          <w:tcPr>
            <w:tcW w:w="1537" w:type="dxa"/>
            <w:tcBorders>
              <w:top w:val="single" w:sz="4" w:space="0" w:color="auto"/>
              <w:left w:val="nil"/>
              <w:bottom w:val="single" w:sz="4" w:space="0" w:color="auto"/>
              <w:right w:val="single" w:sz="4" w:space="0" w:color="auto"/>
            </w:tcBorders>
            <w:shd w:val="clear" w:color="000000" w:fill="FFFFFF"/>
            <w:noWrap/>
            <w:vAlign w:val="center"/>
            <w:hideMark/>
          </w:tcPr>
          <w:p w:rsidR="001E5E4E" w:rsidRPr="00305581" w:rsidRDefault="00380515" w:rsidP="00FC4301">
            <w:pPr>
              <w:spacing w:after="120" w:line="320" w:lineRule="atLeast"/>
              <w:jc w:val="center"/>
              <w:rPr>
                <w:rFonts w:eastAsia="Times New Roman"/>
                <w:b/>
                <w:bCs/>
                <w:color w:val="auto"/>
              </w:rPr>
            </w:pPr>
            <w:r w:rsidRPr="00305581">
              <w:rPr>
                <w:rFonts w:eastAsia="Times New Roman"/>
                <w:b/>
                <w:bCs/>
                <w:color w:val="auto"/>
              </w:rPr>
              <w:t>Năm</w:t>
            </w:r>
          </w:p>
        </w:tc>
        <w:tc>
          <w:tcPr>
            <w:tcW w:w="1522" w:type="dxa"/>
            <w:tcBorders>
              <w:top w:val="single" w:sz="4" w:space="0" w:color="auto"/>
              <w:left w:val="nil"/>
              <w:bottom w:val="single" w:sz="4" w:space="0" w:color="auto"/>
              <w:right w:val="single" w:sz="4" w:space="0" w:color="auto"/>
            </w:tcBorders>
            <w:shd w:val="clear" w:color="000000" w:fill="FFFFFF"/>
            <w:vAlign w:val="center"/>
            <w:hideMark/>
          </w:tcPr>
          <w:p w:rsidR="001E5E4E" w:rsidRPr="00305581" w:rsidRDefault="001E5E4E" w:rsidP="00FC4301">
            <w:pPr>
              <w:spacing w:after="120" w:line="320" w:lineRule="atLeast"/>
              <w:jc w:val="center"/>
              <w:rPr>
                <w:rFonts w:eastAsia="Times New Roman"/>
                <w:b/>
                <w:bCs/>
                <w:color w:val="auto"/>
              </w:rPr>
            </w:pPr>
            <w:r w:rsidRPr="00305581">
              <w:rPr>
                <w:rFonts w:eastAsia="Times New Roman"/>
                <w:b/>
                <w:bCs/>
                <w:color w:val="auto"/>
              </w:rPr>
              <w:t>Tổng số đối tượng</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1E5E4E" w:rsidRPr="00305581" w:rsidRDefault="001E5E4E" w:rsidP="00FC4301">
            <w:pPr>
              <w:spacing w:after="120" w:line="320" w:lineRule="atLeast"/>
              <w:jc w:val="center"/>
              <w:rPr>
                <w:rFonts w:eastAsia="Times New Roman"/>
                <w:b/>
                <w:bCs/>
                <w:color w:val="auto"/>
              </w:rPr>
            </w:pPr>
            <w:r w:rsidRPr="00305581">
              <w:rPr>
                <w:rFonts w:eastAsia="Times New Roman"/>
                <w:b/>
                <w:bCs/>
                <w:color w:val="auto"/>
              </w:rPr>
              <w:t>Người nghèo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E5E4E" w:rsidRPr="00305581" w:rsidRDefault="001E5E4E" w:rsidP="00FC4301">
            <w:pPr>
              <w:spacing w:after="120" w:line="320" w:lineRule="atLeast"/>
              <w:jc w:val="center"/>
              <w:rPr>
                <w:rFonts w:eastAsia="Times New Roman"/>
                <w:b/>
                <w:bCs/>
                <w:color w:val="auto"/>
              </w:rPr>
            </w:pPr>
            <w:r w:rsidRPr="00305581">
              <w:rPr>
                <w:rFonts w:eastAsia="Times New Roman"/>
                <w:b/>
                <w:bCs/>
                <w:color w:val="auto"/>
              </w:rPr>
              <w:t>Cận nghèo</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1E5E4E" w:rsidRPr="00305581" w:rsidRDefault="001E5E4E" w:rsidP="00FC4301">
            <w:pPr>
              <w:spacing w:after="120" w:line="320" w:lineRule="atLeast"/>
              <w:jc w:val="center"/>
              <w:rPr>
                <w:rFonts w:eastAsia="Times New Roman"/>
                <w:b/>
                <w:bCs/>
                <w:color w:val="auto"/>
              </w:rPr>
            </w:pPr>
            <w:r w:rsidRPr="00305581">
              <w:rPr>
                <w:rFonts w:eastAsia="Times New Roman"/>
                <w:b/>
                <w:bCs/>
                <w:color w:val="auto"/>
              </w:rPr>
              <w:t>Đối tượng khác</w:t>
            </w:r>
          </w:p>
        </w:tc>
        <w:tc>
          <w:tcPr>
            <w:tcW w:w="1395" w:type="dxa"/>
            <w:tcBorders>
              <w:top w:val="single" w:sz="4" w:space="0" w:color="auto"/>
              <w:left w:val="nil"/>
              <w:bottom w:val="single" w:sz="4" w:space="0" w:color="auto"/>
              <w:right w:val="single" w:sz="4" w:space="0" w:color="auto"/>
            </w:tcBorders>
            <w:shd w:val="clear" w:color="000000" w:fill="FFFFFF"/>
            <w:noWrap/>
            <w:vAlign w:val="center"/>
            <w:hideMark/>
          </w:tcPr>
          <w:p w:rsidR="001E5E4E" w:rsidRPr="00305581" w:rsidRDefault="001E5E4E" w:rsidP="00FC4301">
            <w:pPr>
              <w:spacing w:after="120" w:line="320" w:lineRule="atLeast"/>
              <w:jc w:val="center"/>
              <w:rPr>
                <w:rFonts w:eastAsia="Times New Roman"/>
                <w:b/>
                <w:bCs/>
                <w:color w:val="auto"/>
              </w:rPr>
            </w:pPr>
            <w:r w:rsidRPr="00305581">
              <w:rPr>
                <w:rFonts w:eastAsia="Times New Roman"/>
                <w:b/>
                <w:bCs/>
                <w:color w:val="auto"/>
              </w:rPr>
              <w:t>Dân tộc thiểu số</w:t>
            </w:r>
          </w:p>
        </w:tc>
      </w:tr>
      <w:tr w:rsidR="00305581" w:rsidRPr="00305581" w:rsidTr="00380515">
        <w:trPr>
          <w:trHeight w:val="315"/>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1E5E4E" w:rsidRPr="00305581" w:rsidRDefault="001E5E4E" w:rsidP="00FC4301">
            <w:pPr>
              <w:spacing w:after="120" w:line="320" w:lineRule="atLeast"/>
              <w:jc w:val="center"/>
              <w:rPr>
                <w:rFonts w:eastAsia="Times New Roman"/>
                <w:bCs/>
                <w:i/>
                <w:color w:val="auto"/>
              </w:rPr>
            </w:pPr>
            <w:r w:rsidRPr="00305581">
              <w:rPr>
                <w:rFonts w:eastAsia="Times New Roman"/>
                <w:bCs/>
                <w:i/>
                <w:color w:val="auto"/>
              </w:rPr>
              <w:t>A</w:t>
            </w:r>
          </w:p>
        </w:tc>
        <w:tc>
          <w:tcPr>
            <w:tcW w:w="1537" w:type="dxa"/>
            <w:tcBorders>
              <w:top w:val="nil"/>
              <w:left w:val="nil"/>
              <w:bottom w:val="single" w:sz="4" w:space="0" w:color="auto"/>
              <w:right w:val="single" w:sz="4" w:space="0" w:color="auto"/>
            </w:tcBorders>
            <w:shd w:val="clear" w:color="000000" w:fill="FFFFFF"/>
            <w:noWrap/>
            <w:vAlign w:val="center"/>
            <w:hideMark/>
          </w:tcPr>
          <w:p w:rsidR="001E5E4E" w:rsidRPr="00305581" w:rsidRDefault="001E5E4E" w:rsidP="00FC4301">
            <w:pPr>
              <w:spacing w:after="120" w:line="320" w:lineRule="atLeast"/>
              <w:jc w:val="center"/>
              <w:rPr>
                <w:rFonts w:eastAsia="Times New Roman"/>
                <w:bCs/>
                <w:i/>
                <w:color w:val="auto"/>
              </w:rPr>
            </w:pPr>
            <w:r w:rsidRPr="00305581">
              <w:rPr>
                <w:rFonts w:eastAsia="Times New Roman"/>
                <w:bCs/>
                <w:i/>
                <w:color w:val="auto"/>
              </w:rPr>
              <w:t>B</w:t>
            </w:r>
          </w:p>
        </w:tc>
        <w:tc>
          <w:tcPr>
            <w:tcW w:w="1522" w:type="dxa"/>
            <w:tcBorders>
              <w:top w:val="nil"/>
              <w:left w:val="nil"/>
              <w:bottom w:val="single" w:sz="4" w:space="0" w:color="auto"/>
              <w:right w:val="single" w:sz="4" w:space="0" w:color="auto"/>
            </w:tcBorders>
            <w:shd w:val="clear" w:color="000000" w:fill="FFFFFF"/>
            <w:vAlign w:val="center"/>
            <w:hideMark/>
          </w:tcPr>
          <w:p w:rsidR="001E5E4E" w:rsidRPr="00305581" w:rsidRDefault="001E5E4E" w:rsidP="00FC4301">
            <w:pPr>
              <w:spacing w:after="120" w:line="320" w:lineRule="atLeast"/>
              <w:jc w:val="center"/>
              <w:rPr>
                <w:rFonts w:eastAsia="Times New Roman"/>
                <w:bCs/>
                <w:i/>
                <w:color w:val="auto"/>
              </w:rPr>
            </w:pPr>
            <w:r w:rsidRPr="00305581">
              <w:rPr>
                <w:rFonts w:eastAsia="Times New Roman"/>
                <w:bCs/>
                <w:i/>
                <w:color w:val="auto"/>
              </w:rPr>
              <w:t>1 = 2+3+4</w:t>
            </w:r>
          </w:p>
        </w:tc>
        <w:tc>
          <w:tcPr>
            <w:tcW w:w="1155" w:type="dxa"/>
            <w:tcBorders>
              <w:top w:val="nil"/>
              <w:left w:val="nil"/>
              <w:bottom w:val="single" w:sz="4" w:space="0" w:color="auto"/>
              <w:right w:val="single" w:sz="4" w:space="0" w:color="auto"/>
            </w:tcBorders>
            <w:shd w:val="clear" w:color="000000" w:fill="FFFFFF"/>
            <w:vAlign w:val="center"/>
            <w:hideMark/>
          </w:tcPr>
          <w:p w:rsidR="001E5E4E" w:rsidRPr="00305581" w:rsidRDefault="001E5E4E" w:rsidP="00FC4301">
            <w:pPr>
              <w:spacing w:after="120" w:line="320" w:lineRule="atLeast"/>
              <w:jc w:val="center"/>
              <w:rPr>
                <w:rFonts w:eastAsia="Times New Roman"/>
                <w:bCs/>
                <w:i/>
                <w:color w:val="auto"/>
              </w:rPr>
            </w:pPr>
            <w:r w:rsidRPr="00305581">
              <w:rPr>
                <w:rFonts w:eastAsia="Times New Roman"/>
                <w:bCs/>
                <w:i/>
                <w:color w:val="auto"/>
              </w:rPr>
              <w:t>2</w:t>
            </w:r>
          </w:p>
        </w:tc>
        <w:tc>
          <w:tcPr>
            <w:tcW w:w="1276" w:type="dxa"/>
            <w:tcBorders>
              <w:top w:val="nil"/>
              <w:left w:val="nil"/>
              <w:bottom w:val="single" w:sz="4" w:space="0" w:color="auto"/>
              <w:right w:val="single" w:sz="4" w:space="0" w:color="auto"/>
            </w:tcBorders>
            <w:shd w:val="clear" w:color="000000" w:fill="FFFFFF"/>
            <w:vAlign w:val="center"/>
            <w:hideMark/>
          </w:tcPr>
          <w:p w:rsidR="001E5E4E" w:rsidRPr="00305581" w:rsidRDefault="001E5E4E" w:rsidP="00FC4301">
            <w:pPr>
              <w:spacing w:after="120" w:line="320" w:lineRule="atLeast"/>
              <w:jc w:val="center"/>
              <w:rPr>
                <w:rFonts w:eastAsia="Times New Roman"/>
                <w:bCs/>
                <w:i/>
                <w:color w:val="auto"/>
              </w:rPr>
            </w:pPr>
            <w:r w:rsidRPr="00305581">
              <w:rPr>
                <w:rFonts w:eastAsia="Times New Roman"/>
                <w:bCs/>
                <w:i/>
                <w:color w:val="auto"/>
              </w:rPr>
              <w:t>3</w:t>
            </w:r>
          </w:p>
        </w:tc>
        <w:tc>
          <w:tcPr>
            <w:tcW w:w="1418" w:type="dxa"/>
            <w:tcBorders>
              <w:top w:val="nil"/>
              <w:left w:val="nil"/>
              <w:bottom w:val="single" w:sz="4" w:space="0" w:color="auto"/>
              <w:right w:val="single" w:sz="4" w:space="0" w:color="auto"/>
            </w:tcBorders>
            <w:shd w:val="clear" w:color="000000" w:fill="FFFFFF"/>
            <w:vAlign w:val="center"/>
            <w:hideMark/>
          </w:tcPr>
          <w:p w:rsidR="001E5E4E" w:rsidRPr="00305581" w:rsidRDefault="001E5E4E" w:rsidP="00FC4301">
            <w:pPr>
              <w:spacing w:after="120" w:line="320" w:lineRule="atLeast"/>
              <w:jc w:val="center"/>
              <w:rPr>
                <w:rFonts w:eastAsia="Times New Roman"/>
                <w:bCs/>
                <w:i/>
                <w:color w:val="auto"/>
              </w:rPr>
            </w:pPr>
            <w:r w:rsidRPr="00305581">
              <w:rPr>
                <w:rFonts w:eastAsia="Times New Roman"/>
                <w:bCs/>
                <w:i/>
                <w:color w:val="auto"/>
              </w:rPr>
              <w:t>4</w:t>
            </w:r>
          </w:p>
        </w:tc>
        <w:tc>
          <w:tcPr>
            <w:tcW w:w="1395" w:type="dxa"/>
            <w:tcBorders>
              <w:top w:val="nil"/>
              <w:left w:val="nil"/>
              <w:bottom w:val="single" w:sz="4" w:space="0" w:color="auto"/>
              <w:right w:val="single" w:sz="4" w:space="0" w:color="auto"/>
            </w:tcBorders>
            <w:shd w:val="clear" w:color="000000" w:fill="FFFFFF"/>
            <w:noWrap/>
            <w:vAlign w:val="center"/>
            <w:hideMark/>
          </w:tcPr>
          <w:p w:rsidR="001E5E4E" w:rsidRPr="00305581" w:rsidRDefault="001E5E4E" w:rsidP="00FC4301">
            <w:pPr>
              <w:spacing w:after="120" w:line="320" w:lineRule="atLeast"/>
              <w:jc w:val="center"/>
              <w:rPr>
                <w:rFonts w:eastAsia="Times New Roman"/>
                <w:bCs/>
                <w:i/>
                <w:color w:val="auto"/>
              </w:rPr>
            </w:pPr>
            <w:r w:rsidRPr="00305581">
              <w:rPr>
                <w:rFonts w:eastAsia="Times New Roman"/>
                <w:bCs/>
                <w:i/>
                <w:color w:val="auto"/>
              </w:rPr>
              <w:t> </w:t>
            </w:r>
          </w:p>
        </w:tc>
      </w:tr>
      <w:tr w:rsidR="00305581" w:rsidRPr="00305581" w:rsidTr="00DD659A">
        <w:trPr>
          <w:trHeight w:val="300"/>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6DF2" w:rsidRPr="00305581" w:rsidRDefault="00926DF2" w:rsidP="00DD659A">
            <w:pPr>
              <w:spacing w:after="120" w:line="320" w:lineRule="atLeast"/>
              <w:jc w:val="center"/>
              <w:rPr>
                <w:rFonts w:eastAsia="Times New Roman"/>
                <w:color w:val="auto"/>
              </w:rPr>
            </w:pPr>
            <w:r w:rsidRPr="00305581">
              <w:rPr>
                <w:rFonts w:eastAsia="Times New Roman"/>
                <w:color w:val="auto"/>
              </w:rPr>
              <w:t>1</w:t>
            </w:r>
          </w:p>
        </w:tc>
        <w:tc>
          <w:tcPr>
            <w:tcW w:w="1537" w:type="dxa"/>
            <w:tcBorders>
              <w:top w:val="single" w:sz="4" w:space="0" w:color="auto"/>
              <w:left w:val="nil"/>
              <w:bottom w:val="single" w:sz="4" w:space="0" w:color="auto"/>
              <w:right w:val="single" w:sz="4" w:space="0" w:color="auto"/>
            </w:tcBorders>
            <w:shd w:val="clear" w:color="000000" w:fill="FFFFFF"/>
            <w:vAlign w:val="center"/>
          </w:tcPr>
          <w:p w:rsidR="00926DF2" w:rsidRPr="00305581" w:rsidRDefault="00926DF2" w:rsidP="00DD659A">
            <w:pPr>
              <w:spacing w:after="120" w:line="320" w:lineRule="atLeast"/>
              <w:jc w:val="center"/>
              <w:rPr>
                <w:rFonts w:eastAsia="Times New Roman"/>
                <w:color w:val="auto"/>
              </w:rPr>
            </w:pPr>
            <w:r w:rsidRPr="00305581">
              <w:rPr>
                <w:rFonts w:eastAsia="Times New Roman"/>
                <w:color w:val="auto"/>
              </w:rPr>
              <w:t>Năm 2023</w:t>
            </w:r>
          </w:p>
        </w:tc>
        <w:tc>
          <w:tcPr>
            <w:tcW w:w="1522"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37.761</w:t>
            </w:r>
          </w:p>
        </w:tc>
        <w:tc>
          <w:tcPr>
            <w:tcW w:w="1155"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1.383</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1.265</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35.105</w:t>
            </w:r>
          </w:p>
        </w:tc>
        <w:tc>
          <w:tcPr>
            <w:tcW w:w="1395"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0</w:t>
            </w:r>
          </w:p>
        </w:tc>
      </w:tr>
      <w:tr w:rsidR="00305581" w:rsidRPr="00305581" w:rsidTr="00DD659A">
        <w:trPr>
          <w:trHeight w:val="42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6DF2" w:rsidRPr="00305581" w:rsidRDefault="00926DF2" w:rsidP="00DD659A">
            <w:pPr>
              <w:spacing w:after="120" w:line="320" w:lineRule="atLeast"/>
              <w:jc w:val="center"/>
              <w:rPr>
                <w:rFonts w:eastAsia="Times New Roman"/>
                <w:color w:val="auto"/>
              </w:rPr>
            </w:pPr>
            <w:r w:rsidRPr="00305581">
              <w:rPr>
                <w:rFonts w:eastAsia="Times New Roman"/>
                <w:color w:val="auto"/>
              </w:rPr>
              <w:t>2</w:t>
            </w:r>
          </w:p>
        </w:tc>
        <w:tc>
          <w:tcPr>
            <w:tcW w:w="1537"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926DF2" w:rsidP="00DD659A">
            <w:pPr>
              <w:spacing w:after="120" w:line="320" w:lineRule="atLeast"/>
              <w:jc w:val="center"/>
              <w:rPr>
                <w:rFonts w:eastAsia="Times New Roman"/>
                <w:color w:val="auto"/>
              </w:rPr>
            </w:pPr>
            <w:r w:rsidRPr="00305581">
              <w:rPr>
                <w:rFonts w:eastAsia="Times New Roman"/>
                <w:color w:val="auto"/>
              </w:rPr>
              <w:t>Năm 2024</w:t>
            </w:r>
          </w:p>
        </w:tc>
        <w:tc>
          <w:tcPr>
            <w:tcW w:w="1522"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41.976</w:t>
            </w:r>
          </w:p>
        </w:tc>
        <w:tc>
          <w:tcPr>
            <w:tcW w:w="1155"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811</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693</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40.472</w:t>
            </w:r>
          </w:p>
        </w:tc>
        <w:tc>
          <w:tcPr>
            <w:tcW w:w="1395"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0</w:t>
            </w:r>
          </w:p>
        </w:tc>
      </w:tr>
      <w:tr w:rsidR="00305581" w:rsidRPr="00305581" w:rsidTr="00DD659A">
        <w:trPr>
          <w:trHeight w:val="31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6DF2" w:rsidRPr="00305581" w:rsidRDefault="00926DF2" w:rsidP="00DD659A">
            <w:pPr>
              <w:spacing w:after="120" w:line="320" w:lineRule="atLeast"/>
              <w:jc w:val="center"/>
              <w:rPr>
                <w:rFonts w:eastAsia="Times New Roman"/>
                <w:color w:val="auto"/>
              </w:rPr>
            </w:pPr>
            <w:r w:rsidRPr="00305581">
              <w:rPr>
                <w:rFonts w:eastAsia="Times New Roman"/>
                <w:color w:val="auto"/>
              </w:rPr>
              <w:t>3</w:t>
            </w:r>
          </w:p>
        </w:tc>
        <w:tc>
          <w:tcPr>
            <w:tcW w:w="1537"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926DF2" w:rsidP="00DD659A">
            <w:pPr>
              <w:spacing w:after="120" w:line="320" w:lineRule="atLeast"/>
              <w:jc w:val="center"/>
              <w:rPr>
                <w:rFonts w:eastAsia="Times New Roman"/>
                <w:color w:val="auto"/>
              </w:rPr>
            </w:pPr>
            <w:r w:rsidRPr="00305581">
              <w:rPr>
                <w:rFonts w:eastAsia="Times New Roman"/>
                <w:color w:val="auto"/>
              </w:rPr>
              <w:t>Năm 2025</w:t>
            </w:r>
          </w:p>
        </w:tc>
        <w:tc>
          <w:tcPr>
            <w:tcW w:w="1522"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50.314</w:t>
            </w:r>
          </w:p>
        </w:tc>
        <w:tc>
          <w:tcPr>
            <w:tcW w:w="1155"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556</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341</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40.591</w:t>
            </w:r>
          </w:p>
        </w:tc>
        <w:tc>
          <w:tcPr>
            <w:tcW w:w="1395" w:type="dxa"/>
            <w:tcBorders>
              <w:top w:val="single" w:sz="4" w:space="0" w:color="auto"/>
              <w:left w:val="nil"/>
              <w:bottom w:val="single" w:sz="4" w:space="0" w:color="auto"/>
              <w:right w:val="single" w:sz="4" w:space="0" w:color="auto"/>
            </w:tcBorders>
            <w:shd w:val="clear" w:color="000000" w:fill="FFFFFF"/>
            <w:noWrap/>
            <w:vAlign w:val="center"/>
          </w:tcPr>
          <w:p w:rsidR="00926DF2" w:rsidRPr="00305581" w:rsidRDefault="005610FA" w:rsidP="00DD659A">
            <w:pPr>
              <w:spacing w:after="120" w:line="320" w:lineRule="atLeast"/>
              <w:jc w:val="center"/>
              <w:rPr>
                <w:rFonts w:eastAsia="Times New Roman"/>
                <w:color w:val="auto"/>
              </w:rPr>
            </w:pPr>
            <w:r w:rsidRPr="00305581">
              <w:rPr>
                <w:rFonts w:eastAsia="Times New Roman"/>
                <w:color w:val="auto"/>
              </w:rPr>
              <w:t>8.826</w:t>
            </w:r>
          </w:p>
        </w:tc>
      </w:tr>
      <w:tr w:rsidR="00305581" w:rsidRPr="00305581" w:rsidTr="00DD659A">
        <w:trPr>
          <w:trHeight w:val="31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610FA" w:rsidRPr="00305581" w:rsidRDefault="005610FA" w:rsidP="00DD659A">
            <w:pPr>
              <w:spacing w:after="120" w:line="320" w:lineRule="atLeast"/>
              <w:jc w:val="center"/>
              <w:rPr>
                <w:rFonts w:eastAsia="Times New Roman"/>
                <w:color w:val="auto"/>
              </w:rPr>
            </w:pPr>
            <w:r w:rsidRPr="00305581">
              <w:rPr>
                <w:rFonts w:eastAsia="Times New Roman"/>
                <w:color w:val="auto"/>
              </w:rPr>
              <w:t>4</w:t>
            </w:r>
          </w:p>
        </w:tc>
        <w:tc>
          <w:tcPr>
            <w:tcW w:w="1537" w:type="dxa"/>
            <w:tcBorders>
              <w:top w:val="single" w:sz="4" w:space="0" w:color="auto"/>
              <w:left w:val="nil"/>
              <w:bottom w:val="single" w:sz="4" w:space="0" w:color="auto"/>
              <w:right w:val="single" w:sz="4" w:space="0" w:color="auto"/>
            </w:tcBorders>
            <w:shd w:val="clear" w:color="000000" w:fill="FFFFFF"/>
            <w:noWrap/>
            <w:vAlign w:val="center"/>
          </w:tcPr>
          <w:p w:rsidR="005610FA" w:rsidRPr="00305581" w:rsidRDefault="005610FA" w:rsidP="00DD659A">
            <w:pPr>
              <w:spacing w:after="120" w:line="320" w:lineRule="atLeast"/>
              <w:jc w:val="center"/>
              <w:rPr>
                <w:rFonts w:eastAsia="Times New Roman"/>
                <w:color w:val="auto"/>
              </w:rPr>
            </w:pPr>
            <w:r w:rsidRPr="00305581">
              <w:rPr>
                <w:rFonts w:eastAsia="Times New Roman"/>
                <w:color w:val="auto"/>
              </w:rPr>
              <w:t>Tháng 4/2026</w:t>
            </w:r>
          </w:p>
        </w:tc>
        <w:tc>
          <w:tcPr>
            <w:tcW w:w="1522" w:type="dxa"/>
            <w:tcBorders>
              <w:top w:val="single" w:sz="4" w:space="0" w:color="auto"/>
              <w:left w:val="nil"/>
              <w:bottom w:val="single" w:sz="4" w:space="0" w:color="auto"/>
              <w:right w:val="single" w:sz="4" w:space="0" w:color="auto"/>
            </w:tcBorders>
            <w:shd w:val="clear" w:color="000000" w:fill="FFFFFF"/>
            <w:noWrap/>
            <w:vAlign w:val="center"/>
          </w:tcPr>
          <w:p w:rsidR="005610FA" w:rsidRPr="00305581" w:rsidRDefault="005610FA" w:rsidP="00DD659A">
            <w:pPr>
              <w:spacing w:after="120" w:line="320" w:lineRule="atLeast"/>
              <w:jc w:val="center"/>
              <w:rPr>
                <w:rFonts w:eastAsia="Times New Roman"/>
                <w:color w:val="auto"/>
              </w:rPr>
            </w:pPr>
            <w:r w:rsidRPr="00305581">
              <w:rPr>
                <w:rFonts w:eastAsia="Times New Roman"/>
                <w:color w:val="auto"/>
              </w:rPr>
              <w:t>50.527</w:t>
            </w:r>
          </w:p>
        </w:tc>
        <w:tc>
          <w:tcPr>
            <w:tcW w:w="1155" w:type="dxa"/>
            <w:tcBorders>
              <w:top w:val="single" w:sz="4" w:space="0" w:color="auto"/>
              <w:left w:val="nil"/>
              <w:bottom w:val="single" w:sz="4" w:space="0" w:color="auto"/>
              <w:right w:val="single" w:sz="4" w:space="0" w:color="auto"/>
            </w:tcBorders>
            <w:shd w:val="clear" w:color="000000" w:fill="FFFFFF"/>
            <w:noWrap/>
            <w:vAlign w:val="center"/>
          </w:tcPr>
          <w:p w:rsidR="005610FA" w:rsidRPr="00305581" w:rsidRDefault="005610FA" w:rsidP="00DD659A">
            <w:pPr>
              <w:spacing w:after="120" w:line="320" w:lineRule="atLeast"/>
              <w:jc w:val="center"/>
              <w:rPr>
                <w:rFonts w:eastAsia="Times New Roman"/>
                <w:color w:val="auto"/>
              </w:rPr>
            </w:pPr>
            <w:r w:rsidRPr="00305581">
              <w:rPr>
                <w:rFonts w:eastAsia="Times New Roman"/>
                <w:color w:val="auto"/>
              </w:rPr>
              <w:t>457</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5610FA" w:rsidRPr="00305581" w:rsidRDefault="005610FA" w:rsidP="00DD659A">
            <w:pPr>
              <w:spacing w:after="120" w:line="320" w:lineRule="atLeast"/>
              <w:jc w:val="center"/>
              <w:rPr>
                <w:rFonts w:eastAsia="Times New Roman"/>
                <w:color w:val="auto"/>
              </w:rPr>
            </w:pPr>
            <w:r w:rsidRPr="00305581">
              <w:rPr>
                <w:rFonts w:eastAsia="Times New Roman"/>
                <w:color w:val="auto"/>
              </w:rPr>
              <w:t>346</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610FA" w:rsidRPr="00305581" w:rsidRDefault="005610FA" w:rsidP="00DD659A">
            <w:pPr>
              <w:spacing w:after="120" w:line="320" w:lineRule="atLeast"/>
              <w:jc w:val="center"/>
              <w:rPr>
                <w:rFonts w:eastAsia="Times New Roman"/>
                <w:color w:val="auto"/>
              </w:rPr>
            </w:pPr>
            <w:r w:rsidRPr="00305581">
              <w:rPr>
                <w:rFonts w:eastAsia="Times New Roman"/>
                <w:color w:val="auto"/>
              </w:rPr>
              <w:t>40.633</w:t>
            </w:r>
          </w:p>
        </w:tc>
        <w:tc>
          <w:tcPr>
            <w:tcW w:w="1395" w:type="dxa"/>
            <w:tcBorders>
              <w:top w:val="single" w:sz="4" w:space="0" w:color="auto"/>
              <w:left w:val="nil"/>
              <w:bottom w:val="single" w:sz="4" w:space="0" w:color="auto"/>
              <w:right w:val="single" w:sz="4" w:space="0" w:color="auto"/>
            </w:tcBorders>
            <w:shd w:val="clear" w:color="000000" w:fill="FFFFFF"/>
            <w:noWrap/>
            <w:vAlign w:val="center"/>
          </w:tcPr>
          <w:p w:rsidR="005610FA" w:rsidRPr="00305581" w:rsidRDefault="005610FA" w:rsidP="00DD659A">
            <w:pPr>
              <w:spacing w:after="120" w:line="320" w:lineRule="atLeast"/>
              <w:jc w:val="center"/>
              <w:rPr>
                <w:rFonts w:eastAsia="Times New Roman"/>
                <w:color w:val="auto"/>
              </w:rPr>
            </w:pPr>
            <w:r w:rsidRPr="00305581">
              <w:rPr>
                <w:rFonts w:eastAsia="Times New Roman"/>
                <w:color w:val="auto"/>
              </w:rPr>
              <w:t>9.091</w:t>
            </w:r>
          </w:p>
        </w:tc>
      </w:tr>
    </w:tbl>
    <w:p w:rsidR="00FF6DE7" w:rsidRPr="00305581" w:rsidRDefault="00FF61FA" w:rsidP="00DD659A">
      <w:pPr>
        <w:widowControl w:val="0"/>
        <w:spacing w:line="312" w:lineRule="auto"/>
        <w:ind w:firstLine="709"/>
        <w:jc w:val="both"/>
        <w:rPr>
          <w:rFonts w:eastAsia="Times New Roman"/>
          <w:b/>
          <w:i/>
          <w:color w:val="auto"/>
          <w:lang w:val="es-ES" w:eastAsia="vi-VN"/>
        </w:rPr>
      </w:pPr>
      <w:r w:rsidRPr="00305581">
        <w:rPr>
          <w:rFonts w:eastAsia="Times New Roman"/>
          <w:b/>
          <w:i/>
          <w:iCs/>
          <w:color w:val="auto"/>
          <w:lang w:val="es-ES"/>
        </w:rPr>
        <w:t xml:space="preserve">* </w:t>
      </w:r>
      <w:r w:rsidR="00FF6DE7" w:rsidRPr="00305581">
        <w:rPr>
          <w:rFonts w:eastAsia="Times New Roman"/>
          <w:b/>
          <w:i/>
          <w:iCs/>
          <w:color w:val="auto"/>
          <w:lang w:val="es-ES"/>
        </w:rPr>
        <w:t xml:space="preserve">Đánh giá tình hình tham gia </w:t>
      </w:r>
      <w:r w:rsidR="00B31230" w:rsidRPr="00305581">
        <w:rPr>
          <w:rFonts w:eastAsia="Times New Roman"/>
          <w:b/>
          <w:i/>
          <w:color w:val="auto"/>
          <w:lang w:val="vi-VN" w:eastAsia="vi-VN"/>
        </w:rPr>
        <w:t>BHXH</w:t>
      </w:r>
      <w:r w:rsidR="009F22CA" w:rsidRPr="00305581">
        <w:rPr>
          <w:rFonts w:eastAsia="Times New Roman"/>
          <w:b/>
          <w:i/>
          <w:color w:val="auto"/>
          <w:lang w:val="es-ES" w:eastAsia="vi-VN"/>
        </w:rPr>
        <w:t xml:space="preserve"> của các đối tượng</w:t>
      </w:r>
    </w:p>
    <w:p w:rsidR="0059065B" w:rsidRPr="00305581" w:rsidRDefault="00FF6DE7" w:rsidP="00DD659A">
      <w:pPr>
        <w:widowControl w:val="0"/>
        <w:spacing w:line="312" w:lineRule="auto"/>
        <w:ind w:firstLine="709"/>
        <w:jc w:val="both"/>
        <w:rPr>
          <w:rFonts w:eastAsia="Times New Roman"/>
          <w:iCs/>
          <w:color w:val="auto"/>
          <w:lang w:val="es-ES"/>
        </w:rPr>
      </w:pPr>
      <w:r w:rsidRPr="00305581">
        <w:rPr>
          <w:rFonts w:eastAsia="Times New Roman"/>
          <w:iCs/>
          <w:color w:val="auto"/>
          <w:lang w:val="es-ES"/>
        </w:rPr>
        <w:t>Căn cứ kết quả số liệu người tham gia BHXH thời gian qua</w:t>
      </w:r>
      <w:r w:rsidRPr="00305581">
        <w:rPr>
          <w:rFonts w:eastAsia="Times New Roman"/>
          <w:iCs/>
          <w:color w:val="auto"/>
          <w:lang w:val="vi-VN"/>
        </w:rPr>
        <w:t xml:space="preserve"> cho thấy, xu hướng tham gia BHXH</w:t>
      </w:r>
      <w:r w:rsidRPr="00305581">
        <w:rPr>
          <w:rFonts w:eastAsia="Times New Roman"/>
          <w:iCs/>
          <w:color w:val="auto"/>
          <w:lang w:val="es-ES"/>
        </w:rPr>
        <w:t xml:space="preserve"> của các đối tượng trên địa bàn</w:t>
      </w:r>
      <w:r w:rsidRPr="00305581">
        <w:rPr>
          <w:rFonts w:eastAsia="Times New Roman"/>
          <w:iCs/>
          <w:color w:val="auto"/>
          <w:lang w:val="vi-VN"/>
        </w:rPr>
        <w:t xml:space="preserve"> tăng</w:t>
      </w:r>
      <w:r w:rsidR="00600008" w:rsidRPr="00305581">
        <w:rPr>
          <w:rFonts w:eastAsia="Times New Roman"/>
          <w:iCs/>
          <w:color w:val="auto"/>
          <w:lang w:val="es-ES"/>
        </w:rPr>
        <w:t>,</w:t>
      </w:r>
      <w:r w:rsidRPr="00305581">
        <w:rPr>
          <w:rFonts w:eastAsia="Times New Roman"/>
          <w:iCs/>
          <w:color w:val="auto"/>
          <w:lang w:val="vi-VN"/>
        </w:rPr>
        <w:t xml:space="preserve"> giảm không ổn định qua các năm</w:t>
      </w:r>
      <w:r w:rsidR="00953915" w:rsidRPr="00305581">
        <w:rPr>
          <w:rFonts w:eastAsia="Times New Roman"/>
          <w:iCs/>
          <w:color w:val="auto"/>
          <w:lang w:val="es-ES"/>
        </w:rPr>
        <w:t xml:space="preserve">, bao gồm vả </w:t>
      </w:r>
      <w:r w:rsidR="00953915" w:rsidRPr="00305581">
        <w:rPr>
          <w:rFonts w:eastAsia="Times New Roman"/>
          <w:iCs/>
          <w:color w:val="auto"/>
          <w:lang w:val="vi-VN"/>
        </w:rPr>
        <w:t>số người tham gia BHXH tự nguyện</w:t>
      </w:r>
      <w:r w:rsidR="00953915" w:rsidRPr="00305581">
        <w:rPr>
          <w:rFonts w:eastAsia="Times New Roman"/>
          <w:iCs/>
          <w:color w:val="auto"/>
          <w:lang w:val="es-ES"/>
        </w:rPr>
        <w:t xml:space="preserve">. </w:t>
      </w:r>
      <w:r w:rsidRPr="00305581">
        <w:rPr>
          <w:rFonts w:eastAsia="Times New Roman"/>
          <w:iCs/>
          <w:color w:val="auto"/>
          <w:lang w:val="es-ES"/>
        </w:rPr>
        <w:t>T</w:t>
      </w:r>
      <w:r w:rsidRPr="00305581">
        <w:rPr>
          <w:rFonts w:eastAsia="Times New Roman"/>
          <w:iCs/>
          <w:color w:val="auto"/>
          <w:lang w:val="vi-VN"/>
        </w:rPr>
        <w:t>rong giai đoạn 2021-2025</w:t>
      </w:r>
      <w:r w:rsidR="00D443C2" w:rsidRPr="00305581">
        <w:rPr>
          <w:rFonts w:eastAsia="Times New Roman"/>
          <w:iCs/>
          <w:color w:val="auto"/>
          <w:lang w:val="es-ES"/>
        </w:rPr>
        <w:t xml:space="preserve">, </w:t>
      </w:r>
      <w:r w:rsidR="0059065B" w:rsidRPr="00305581">
        <w:rPr>
          <w:rFonts w:eastAsia="Times New Roman"/>
          <w:iCs/>
          <w:color w:val="auto"/>
          <w:lang w:val="es-ES"/>
        </w:rPr>
        <w:t>BHXH bắt buộc tăng 47.717 người, tuy nhiên số lượng tăng chủ yếu từ năm 2025 do mở rộng đối tượng tham gia mới theo Luật BHXH sửa đổi năm 2024 (Chủ hộ kinh doanh, người quản lý doanh nghiệp không hưởng lương, cán bộ không chuyên trách thôn, tổ dân phố ...). Số người tham gia BHXH tự nguyện tăng 12.485 người, tuy nhiên số người tham gia BHXH tự nguyện đã đạt đến tốc độ ổn định, 5 tháng đầu năm 2026, chỉ tăng 213 người so với năm 2025.</w:t>
      </w:r>
    </w:p>
    <w:p w:rsidR="00797EF4" w:rsidRPr="008F67F2" w:rsidRDefault="00797EF4" w:rsidP="00DD659A">
      <w:pPr>
        <w:widowControl w:val="0"/>
        <w:spacing w:line="312" w:lineRule="auto"/>
        <w:ind w:firstLine="709"/>
        <w:jc w:val="both"/>
        <w:rPr>
          <w:rFonts w:eastAsia="Times New Roman"/>
          <w:i/>
          <w:iCs/>
          <w:color w:val="auto"/>
          <w:lang w:val="es-ES"/>
        </w:rPr>
      </w:pPr>
      <w:r w:rsidRPr="00305581">
        <w:rPr>
          <w:rFonts w:eastAsia="Times New Roman"/>
          <w:color w:val="auto"/>
          <w:lang w:val="es-ES" w:eastAsia="vi-VN"/>
        </w:rPr>
        <w:t>Trong gia</w:t>
      </w:r>
      <w:r w:rsidR="00A87ADF" w:rsidRPr="00305581">
        <w:rPr>
          <w:rFonts w:eastAsia="Times New Roman"/>
          <w:color w:val="auto"/>
          <w:lang w:val="es-ES" w:eastAsia="vi-VN"/>
        </w:rPr>
        <w:t>i</w:t>
      </w:r>
      <w:r w:rsidRPr="00305581">
        <w:rPr>
          <w:rFonts w:eastAsia="Times New Roman"/>
          <w:color w:val="auto"/>
          <w:lang w:val="es-ES" w:eastAsia="vi-VN"/>
        </w:rPr>
        <w:t xml:space="preserve"> đoạn 2021- 2025, số</w:t>
      </w:r>
      <w:r w:rsidRPr="00305581">
        <w:rPr>
          <w:rFonts w:eastAsia="Times New Roman"/>
          <w:iCs/>
          <w:color w:val="auto"/>
          <w:lang w:val="es-ES"/>
        </w:rPr>
        <w:t xml:space="preserve"> đối tượng thuộc hộ nghèo, cận nghèo trên </w:t>
      </w:r>
      <w:r w:rsidRPr="00305581">
        <w:rPr>
          <w:rFonts w:eastAsia="Times New Roman"/>
          <w:iCs/>
          <w:color w:val="auto"/>
          <w:lang w:val="es-ES"/>
        </w:rPr>
        <w:lastRenderedPageBreak/>
        <w:t>địa bàn tỉnh tham gia BHXH tự nguyện hàng năm rất thấp</w:t>
      </w:r>
      <w:r w:rsidR="00B32A67" w:rsidRPr="00305581">
        <w:rPr>
          <w:rFonts w:eastAsia="Times New Roman"/>
          <w:iCs/>
          <w:color w:val="auto"/>
          <w:lang w:val="es-ES"/>
        </w:rPr>
        <w:t>, năm sau giảm so với năm trước</w:t>
      </w:r>
      <w:r w:rsidRPr="00305581">
        <w:rPr>
          <w:rFonts w:eastAsia="Times New Roman"/>
          <w:iCs/>
          <w:color w:val="auto"/>
          <w:lang w:val="es-ES"/>
        </w:rPr>
        <w:t xml:space="preserve"> </w:t>
      </w:r>
      <w:r w:rsidRPr="008F67F2">
        <w:rPr>
          <w:rFonts w:eastAsia="Times New Roman"/>
          <w:iCs/>
          <w:color w:val="auto"/>
          <w:lang w:val="es-ES"/>
        </w:rPr>
        <w:t>(</w:t>
      </w:r>
      <w:r w:rsidR="00B32A67" w:rsidRPr="008F67F2">
        <w:rPr>
          <w:rFonts w:eastAsia="Times New Roman"/>
          <w:i/>
          <w:iCs/>
          <w:color w:val="auto"/>
          <w:lang w:val="es-ES"/>
        </w:rPr>
        <w:t>số người tham gia BHXH tự nguyện thuộc hộ nghèo năm 2023 là 1.383 người đến năm 2025 giảm chỉ còn 457 người, số người tham gia BHXH tự nguyện thuộc hộ cận nghèo năm 2023 là 1.265 người đến năm 2025 chỉ còn 346 người)</w:t>
      </w:r>
      <w:r w:rsidRPr="008F67F2">
        <w:rPr>
          <w:rFonts w:eastAsia="Times New Roman"/>
          <w:iCs/>
          <w:color w:val="auto"/>
          <w:lang w:val="es-ES"/>
        </w:rPr>
        <w:t xml:space="preserve">. </w:t>
      </w:r>
    </w:p>
    <w:p w:rsidR="00FF6DE7" w:rsidRPr="00305581" w:rsidRDefault="00DC3626" w:rsidP="00DD659A">
      <w:pPr>
        <w:widowControl w:val="0"/>
        <w:spacing w:line="312" w:lineRule="auto"/>
        <w:ind w:firstLine="709"/>
        <w:jc w:val="both"/>
        <w:rPr>
          <w:rFonts w:eastAsia="Times New Roman"/>
          <w:b/>
          <w:i/>
          <w:iCs/>
          <w:color w:val="auto"/>
          <w:lang w:val="es-ES"/>
        </w:rPr>
      </w:pPr>
      <w:r w:rsidRPr="00305581">
        <w:rPr>
          <w:rFonts w:eastAsia="Times New Roman"/>
          <w:b/>
          <w:i/>
          <w:iCs/>
          <w:color w:val="auto"/>
          <w:lang w:val="vi-VN"/>
        </w:rPr>
        <w:t>1</w:t>
      </w:r>
      <w:r w:rsidR="00DC0A7B" w:rsidRPr="00305581">
        <w:rPr>
          <w:rFonts w:eastAsia="Times New Roman"/>
          <w:b/>
          <w:i/>
          <w:iCs/>
          <w:color w:val="auto"/>
          <w:lang w:val="es-ES"/>
        </w:rPr>
        <w:t>.</w:t>
      </w:r>
      <w:r w:rsidR="00FF61FA" w:rsidRPr="00305581">
        <w:rPr>
          <w:rFonts w:eastAsia="Times New Roman"/>
          <w:b/>
          <w:i/>
          <w:iCs/>
          <w:color w:val="auto"/>
          <w:lang w:val="es-ES"/>
        </w:rPr>
        <w:t>3</w:t>
      </w:r>
      <w:r w:rsidR="00FF6DE7" w:rsidRPr="00305581">
        <w:rPr>
          <w:rFonts w:eastAsia="Times New Roman"/>
          <w:b/>
          <w:i/>
          <w:iCs/>
          <w:color w:val="auto"/>
          <w:lang w:val="es-ES"/>
        </w:rPr>
        <w:t>. Tình hình thực hiện các giải pháp phát triển bảo hiểm xã hội</w:t>
      </w:r>
    </w:p>
    <w:p w:rsidR="005009E7" w:rsidRPr="00305581" w:rsidRDefault="005009E7" w:rsidP="00DD659A">
      <w:pPr>
        <w:spacing w:line="312" w:lineRule="auto"/>
        <w:ind w:firstLine="709"/>
        <w:jc w:val="both"/>
        <w:rPr>
          <w:rFonts w:eastAsia="Times New Roman"/>
          <w:i/>
          <w:iCs/>
          <w:color w:val="auto"/>
          <w:lang w:val="es-ES"/>
        </w:rPr>
      </w:pPr>
      <w:r w:rsidRPr="00305581">
        <w:rPr>
          <w:rFonts w:eastAsia="Times New Roman"/>
          <w:i/>
          <w:iCs/>
          <w:color w:val="auto"/>
          <w:lang w:val="es-ES"/>
        </w:rPr>
        <w:t>- Công tác lãnh đạo, chỉ đạo:</w:t>
      </w:r>
    </w:p>
    <w:p w:rsidR="005009E7" w:rsidRPr="00305581" w:rsidRDefault="005009E7" w:rsidP="00DD659A">
      <w:pPr>
        <w:spacing w:line="312" w:lineRule="auto"/>
        <w:ind w:firstLine="709"/>
        <w:jc w:val="both"/>
        <w:rPr>
          <w:color w:val="auto"/>
          <w:spacing w:val="3"/>
          <w:shd w:val="clear" w:color="auto" w:fill="FFFFFF"/>
          <w:lang w:val="es-PE"/>
        </w:rPr>
      </w:pPr>
      <w:r w:rsidRPr="00305581">
        <w:rPr>
          <w:rStyle w:val="fontstyle01"/>
          <w:color w:val="auto"/>
          <w:lang w:val="es-PE"/>
        </w:rPr>
        <w:t>UBND tỉnh giao Sở Lao động - Thương binh và Xã hội</w:t>
      </w:r>
      <w:r w:rsidR="00DC0A7B" w:rsidRPr="00305581">
        <w:rPr>
          <w:rStyle w:val="fontstyle01"/>
          <w:color w:val="auto"/>
          <w:lang w:val="vi-VN"/>
        </w:rPr>
        <w:t xml:space="preserve"> (nay là Sở Nội vụ)</w:t>
      </w:r>
      <w:r w:rsidRPr="00305581">
        <w:rPr>
          <w:rStyle w:val="fontstyle01"/>
          <w:color w:val="auto"/>
          <w:lang w:val="es-PE"/>
        </w:rPr>
        <w:t>, BHXH tỉnh theo chức năng, nhiệm vụ tham mưu, triển khai thực hiện đầy đủ các quy định, pháp luật về BHXH, BHTN trên địa bàn; kịp thời chỉ đạo triển khai các chính sách, quy định mới trên địa bàn. Nhằm</w:t>
      </w:r>
      <w:r w:rsidRPr="00305581">
        <w:rPr>
          <w:color w:val="auto"/>
          <w:lang w:val="es-PE"/>
        </w:rPr>
        <w:t xml:space="preserve"> </w:t>
      </w:r>
      <w:r w:rsidRPr="00305581">
        <w:rPr>
          <w:rStyle w:val="fontstyle01"/>
          <w:color w:val="auto"/>
          <w:lang w:val="es-PE"/>
        </w:rPr>
        <w:t xml:space="preserve">triển khai thực hiện </w:t>
      </w:r>
      <w:r w:rsidRPr="00305581">
        <w:rPr>
          <w:color w:val="auto"/>
          <w:lang w:val="es-PE"/>
        </w:rPr>
        <w:t>các Nghị quyết của Chính phủ</w:t>
      </w:r>
      <w:r w:rsidRPr="00305581">
        <w:rPr>
          <w:rStyle w:val="Thamchiuccch"/>
          <w:color w:val="auto"/>
        </w:rPr>
        <w:footnoteReference w:id="4"/>
      </w:r>
      <w:r w:rsidRPr="00305581">
        <w:rPr>
          <w:color w:val="auto"/>
          <w:lang w:val="es-PE"/>
        </w:rPr>
        <w:t xml:space="preserve">, </w:t>
      </w:r>
      <w:r w:rsidRPr="00305581">
        <w:rPr>
          <w:color w:val="auto"/>
          <w:spacing w:val="-6"/>
          <w:lang w:val="nl-NL"/>
        </w:rPr>
        <w:t xml:space="preserve">UBND tỉnh đã tham mưu, trình Ban Thường vụ Tỉnh ủy ban hành Chương trình hành động số </w:t>
      </w:r>
      <w:r w:rsidR="00410A33" w:rsidRPr="00305581">
        <w:rPr>
          <w:color w:val="auto"/>
          <w:spacing w:val="-6"/>
          <w:lang w:val="nl-NL"/>
        </w:rPr>
        <w:t>25</w:t>
      </w:r>
      <w:r w:rsidRPr="00305581">
        <w:rPr>
          <w:color w:val="auto"/>
          <w:spacing w:val="-6"/>
          <w:lang w:val="nl-NL"/>
        </w:rPr>
        <w:t xml:space="preserve">-CTr/TU ngày </w:t>
      </w:r>
      <w:r w:rsidR="00410A33" w:rsidRPr="00305581">
        <w:rPr>
          <w:color w:val="auto"/>
          <w:spacing w:val="-6"/>
          <w:lang w:val="nl-NL"/>
        </w:rPr>
        <w:t>26/7</w:t>
      </w:r>
      <w:r w:rsidRPr="00305581">
        <w:rPr>
          <w:color w:val="auto"/>
          <w:spacing w:val="-6"/>
          <w:lang w:val="nl-NL"/>
        </w:rPr>
        <w:t xml:space="preserve">/2018 về thực hiện Nghị quyết số 28-NQ/TW ngày 23/5/2018 của Ban Chấp hành Trung ương Đảng khoá XII về cải cách chính sách bảo hiểm xã hội </w:t>
      </w:r>
      <w:r w:rsidRPr="00305581">
        <w:rPr>
          <w:i/>
          <w:color w:val="auto"/>
          <w:spacing w:val="-6"/>
          <w:lang w:val="nl-NL"/>
        </w:rPr>
        <w:t>(Nghị quyết số 28-NQ/TW)</w:t>
      </w:r>
      <w:r w:rsidRPr="00305581">
        <w:rPr>
          <w:color w:val="auto"/>
          <w:lang w:val="es-PE"/>
        </w:rPr>
        <w:t xml:space="preserve">; </w:t>
      </w:r>
      <w:r w:rsidRPr="00305581">
        <w:rPr>
          <w:rStyle w:val="fontstyle01"/>
          <w:color w:val="auto"/>
          <w:lang w:val="es-PE"/>
        </w:rPr>
        <w:t>ban hành các Kế hoạch triển khai t</w:t>
      </w:r>
      <w:r w:rsidRPr="00305581">
        <w:rPr>
          <w:color w:val="auto"/>
          <w:lang w:val="pt-PT"/>
        </w:rPr>
        <w:t>hực hiện Nghị quyết số 102/NQ-CP ngày 03/8/2018 của Chính phủ về giao chỉ tiêu phát triển đối tượng tham gia</w:t>
      </w:r>
      <w:r w:rsidRPr="00305581">
        <w:rPr>
          <w:color w:val="auto"/>
          <w:lang w:val="vi-VN"/>
        </w:rPr>
        <w:t xml:space="preserve"> </w:t>
      </w:r>
      <w:r w:rsidRPr="00305581">
        <w:rPr>
          <w:color w:val="auto"/>
          <w:lang w:val="es-PE"/>
        </w:rPr>
        <w:t xml:space="preserve">BHXH, </w:t>
      </w:r>
      <w:r w:rsidRPr="00305581">
        <w:rPr>
          <w:color w:val="auto"/>
          <w:spacing w:val="-6"/>
          <w:lang w:val="nl-NL"/>
        </w:rPr>
        <w:t>cải cách chính sách BHXH, Kế hoạch</w:t>
      </w:r>
      <w:r w:rsidRPr="00305581">
        <w:rPr>
          <w:color w:val="auto"/>
          <w:spacing w:val="3"/>
          <w:shd w:val="clear" w:color="auto" w:fill="FFFFFF"/>
          <w:lang w:val="es-PE"/>
        </w:rPr>
        <w:t xml:space="preserve"> thực hiện chính sách BHXH, BHYT, BHTN hàng năm trên địa bàn tỉnh</w:t>
      </w:r>
      <w:r w:rsidRPr="00305581">
        <w:rPr>
          <w:rStyle w:val="Thamchiuccch"/>
          <w:color w:val="auto"/>
        </w:rPr>
        <w:footnoteReference w:id="5"/>
      </w:r>
      <w:r w:rsidRPr="00305581">
        <w:rPr>
          <w:color w:val="auto"/>
          <w:spacing w:val="3"/>
          <w:shd w:val="clear" w:color="auto" w:fill="FFFFFF"/>
          <w:lang w:val="es-PE"/>
        </w:rPr>
        <w:t>, trong đó phân công cụ thể nhiệm vụ của các ngành, cơ quan có liên quan.</w:t>
      </w:r>
      <w:r w:rsidRPr="00305581">
        <w:rPr>
          <w:color w:val="auto"/>
          <w:spacing w:val="-6"/>
          <w:lang w:val="nl-NL"/>
        </w:rPr>
        <w:t xml:space="preserve"> UBND tỉnh đã </w:t>
      </w:r>
      <w:r w:rsidRPr="00305581">
        <w:rPr>
          <w:color w:val="auto"/>
          <w:spacing w:val="3"/>
          <w:shd w:val="clear" w:color="auto" w:fill="FFFFFF"/>
          <w:lang w:val="es-PE"/>
        </w:rPr>
        <w:t>thành lập Ban Chỉ đạo thực hiện chính sách bảo hiểm xã hội, bảo hiểm y tế tỉnh</w:t>
      </w:r>
      <w:r w:rsidRPr="00305581">
        <w:rPr>
          <w:rStyle w:val="Thamchiuccch"/>
          <w:color w:val="auto"/>
          <w:spacing w:val="3"/>
          <w:shd w:val="clear" w:color="auto" w:fill="FFFFFF"/>
          <w:lang w:val="es-PE"/>
        </w:rPr>
        <w:footnoteReference w:id="6"/>
      </w:r>
      <w:r w:rsidRPr="00305581">
        <w:rPr>
          <w:color w:val="auto"/>
          <w:spacing w:val="3"/>
          <w:shd w:val="clear" w:color="auto" w:fill="FFFFFF"/>
          <w:lang w:val="es-PE"/>
        </w:rPr>
        <w:t xml:space="preserve"> do đồng chí Chủ tịch UBND tỉnh làm Trưởng Ban Chỉ đạo, thành lập Tổ giúp việc để tham mưu hoạt động của Ban chỉ đạo theo quy chế đã đề ra; định kỳ 6 tháng, hàng năm tổ chức đánh giá kết quả thực hiện chính sách BHXH, BHYT. Trong năm, UBND tỉnh đã chỉ đạo các cơ quan chức năng bám sát nhiệm vụ, kịp thời giải quyết các vướng mắc, tồn tại, đảm bảo thực hiện các chỉ tiêu phát triển BHXH theo kế hoạch.</w:t>
      </w:r>
    </w:p>
    <w:p w:rsidR="005009E7" w:rsidRPr="00305581" w:rsidRDefault="005009E7" w:rsidP="00DD659A">
      <w:pPr>
        <w:spacing w:line="312" w:lineRule="auto"/>
        <w:ind w:firstLine="709"/>
        <w:jc w:val="both"/>
        <w:rPr>
          <w:rFonts w:eastAsia="Times New Roman"/>
          <w:i/>
          <w:iCs/>
          <w:color w:val="auto"/>
          <w:lang w:val="es-ES"/>
        </w:rPr>
      </w:pPr>
      <w:r w:rsidRPr="00305581">
        <w:rPr>
          <w:rFonts w:eastAsia="Times New Roman"/>
          <w:i/>
          <w:iCs/>
          <w:color w:val="auto"/>
          <w:lang w:val="es-ES"/>
        </w:rPr>
        <w:t>- Tăng cường công tác quản lý và đẩy mạnh hoạt động tuyên truyền:</w:t>
      </w:r>
    </w:p>
    <w:p w:rsidR="001451B1" w:rsidRPr="00305581" w:rsidRDefault="009A4F62" w:rsidP="00DD659A">
      <w:pPr>
        <w:widowControl w:val="0"/>
        <w:spacing w:line="312" w:lineRule="auto"/>
        <w:ind w:firstLine="709"/>
        <w:jc w:val="both"/>
        <w:rPr>
          <w:bCs/>
          <w:color w:val="auto"/>
          <w:lang w:val="es-ES"/>
        </w:rPr>
      </w:pPr>
      <w:r w:rsidRPr="00305581">
        <w:rPr>
          <w:rFonts w:eastAsia="Times New Roman"/>
          <w:iCs/>
          <w:color w:val="auto"/>
          <w:lang w:val="es-ES"/>
        </w:rPr>
        <w:t xml:space="preserve">Hàng năm các cơ quan chức năng cũng tăng cường quản lý địa bàn, rà soát đối tượng phát triển chỉ tiêu BHXH, ban hành Kế hoạch, văn bản hướng dẫn, triển </w:t>
      </w:r>
      <w:r w:rsidRPr="00305581">
        <w:rPr>
          <w:rFonts w:eastAsia="Times New Roman"/>
          <w:iCs/>
          <w:color w:val="auto"/>
          <w:lang w:val="es-ES"/>
        </w:rPr>
        <w:lastRenderedPageBreak/>
        <w:t>khai</w:t>
      </w:r>
      <w:r w:rsidR="002E5981" w:rsidRPr="00305581">
        <w:rPr>
          <w:rFonts w:eastAsia="Times New Roman"/>
          <w:iCs/>
          <w:color w:val="auto"/>
          <w:lang w:val="es-ES"/>
        </w:rPr>
        <w:t xml:space="preserve"> công tác BHXH cho các đối tượng trên địa bàn</w:t>
      </w:r>
      <w:r w:rsidR="002E5981" w:rsidRPr="00305581">
        <w:rPr>
          <w:rStyle w:val="Thamchiuccch"/>
          <w:rFonts w:eastAsia="Times New Roman"/>
          <w:iCs/>
          <w:color w:val="auto"/>
          <w:lang w:val="es-ES"/>
        </w:rPr>
        <w:footnoteReference w:id="7"/>
      </w:r>
      <w:r w:rsidR="002E5981" w:rsidRPr="00305581">
        <w:rPr>
          <w:rFonts w:eastAsia="Times New Roman"/>
          <w:iCs/>
          <w:color w:val="auto"/>
          <w:lang w:val="es-ES"/>
        </w:rPr>
        <w:t>; đôn đốc việc tham gia BHXH cùng với việc tuyên truyền, hướng dẫn, đôn đốc thực hiện pháp luật lao động;</w:t>
      </w:r>
      <w:r w:rsidR="005009E7" w:rsidRPr="00305581">
        <w:rPr>
          <w:rFonts w:eastAsia="Times New Roman"/>
          <w:iCs/>
          <w:color w:val="auto"/>
          <w:lang w:val="es-ES"/>
        </w:rPr>
        <w:t xml:space="preserve"> tăng cường tập huấn,</w:t>
      </w:r>
      <w:r w:rsidR="00D443C2" w:rsidRPr="00305581">
        <w:rPr>
          <w:bCs/>
          <w:color w:val="auto"/>
          <w:lang w:val="es-ES"/>
        </w:rPr>
        <w:t xml:space="preserve"> tuyên truyền chính sách, hỗ trợ người dân trong thực hiện các thủ tục tham gia BHXH, giải quyết chính sách cho người thụ hưởng được thuận tiện, nhanh chóng, đảm bảo quyền lợi của người tham gia. </w:t>
      </w:r>
      <w:r w:rsidR="001451B1" w:rsidRPr="00305581">
        <w:rPr>
          <w:bCs/>
          <w:color w:val="auto"/>
          <w:lang w:val="vi-VN"/>
        </w:rPr>
        <w:t>BHXH tỉnh</w:t>
      </w:r>
      <w:r w:rsidR="002E5981" w:rsidRPr="00305581">
        <w:rPr>
          <w:bCs/>
          <w:color w:val="auto"/>
          <w:lang w:val="es-ES"/>
        </w:rPr>
        <w:t xml:space="preserve">, BHXH cơ sở - cơ quan trực tiếp thực hiện chính sách BHXH trên địa bàn hàng năm đều đẩy mạnh tuyên truyền, thanh tra, kiểm tra đôn đốc việc thu nộp BHXH, phát triển người tham gia BHXH.  </w:t>
      </w:r>
    </w:p>
    <w:p w:rsidR="00FF6DE7" w:rsidRPr="00305581" w:rsidRDefault="005009E7" w:rsidP="00DD659A">
      <w:pPr>
        <w:widowControl w:val="0"/>
        <w:spacing w:line="312" w:lineRule="auto"/>
        <w:ind w:firstLine="709"/>
        <w:jc w:val="both"/>
        <w:rPr>
          <w:rFonts w:eastAsia="Times New Roman"/>
          <w:i/>
          <w:iCs/>
          <w:color w:val="auto"/>
          <w:lang w:val="vi-VN"/>
        </w:rPr>
      </w:pPr>
      <w:r w:rsidRPr="00305581">
        <w:rPr>
          <w:rFonts w:eastAsia="Times New Roman"/>
          <w:i/>
          <w:iCs/>
          <w:color w:val="auto"/>
          <w:lang w:val="es-ES"/>
        </w:rPr>
        <w:t>-</w:t>
      </w:r>
      <w:r w:rsidR="00FF6DE7" w:rsidRPr="00305581">
        <w:rPr>
          <w:rFonts w:eastAsia="Times New Roman"/>
          <w:i/>
          <w:iCs/>
          <w:color w:val="auto"/>
          <w:lang w:val="es-ES"/>
        </w:rPr>
        <w:t xml:space="preserve"> Chính sách hỗ trợ của nhà nước đối với các đối tượng tham gia BHXH tự nguyện</w:t>
      </w:r>
      <w:r w:rsidR="00DC0A7B" w:rsidRPr="00305581">
        <w:rPr>
          <w:rFonts w:eastAsia="Times New Roman"/>
          <w:i/>
          <w:iCs/>
          <w:color w:val="auto"/>
          <w:lang w:val="vi-VN"/>
        </w:rPr>
        <w:t>:</w:t>
      </w:r>
    </w:p>
    <w:p w:rsidR="005009E7" w:rsidRPr="00305581" w:rsidRDefault="00FF6DE7" w:rsidP="00DD659A">
      <w:pPr>
        <w:widowControl w:val="0"/>
        <w:spacing w:line="312" w:lineRule="auto"/>
        <w:ind w:firstLine="709"/>
        <w:jc w:val="both"/>
        <w:rPr>
          <w:rFonts w:eastAsia="Times New Roman"/>
          <w:iCs/>
          <w:color w:val="auto"/>
          <w:lang w:val="vi-VN"/>
        </w:rPr>
      </w:pPr>
      <w:r w:rsidRPr="00305581">
        <w:rPr>
          <w:rFonts w:eastAsia="Times New Roman"/>
          <w:color w:val="auto"/>
          <w:lang w:val="vi-VN" w:eastAsia="vi-VN"/>
        </w:rPr>
        <w:tab/>
      </w:r>
      <w:r w:rsidR="005009E7" w:rsidRPr="00305581">
        <w:rPr>
          <w:rFonts w:eastAsia="Times New Roman"/>
          <w:iCs/>
          <w:color w:val="auto"/>
          <w:lang w:val="vi-VN"/>
        </w:rPr>
        <w:t>Từ ngày 01/7/2025 sau khi Luật BHXH năm 2024 và các văn bản hướng dẫn thi hành có hiệu lực, nhà nước đã có nhiều chính sách tăng quyền lợi và hỗ trợ cho người tham gia BHXH tự nguyện như: tăng mức và mở rộng đối tượng hỗ trợ cho người tham gia BHXH tự nguyện</w:t>
      </w:r>
      <w:r w:rsidR="005009E7" w:rsidRPr="00305581">
        <w:rPr>
          <w:rStyle w:val="Thamchiuccch"/>
          <w:rFonts w:eastAsia="Times New Roman"/>
          <w:iCs/>
          <w:color w:val="auto"/>
          <w:lang w:val="vi-VN"/>
        </w:rPr>
        <w:footnoteReference w:id="8"/>
      </w:r>
      <w:r w:rsidR="005009E7" w:rsidRPr="00305581">
        <w:rPr>
          <w:color w:val="auto"/>
          <w:lang w:val="vi-VN"/>
        </w:rPr>
        <w:t>,</w:t>
      </w:r>
      <w:r w:rsidR="005009E7" w:rsidRPr="00305581">
        <w:rPr>
          <w:rFonts w:eastAsia="Times New Roman"/>
          <w:iCs/>
          <w:color w:val="auto"/>
          <w:lang w:val="vi-VN"/>
        </w:rPr>
        <w:t xml:space="preserve"> bổ sung quyền lợi hưởng trợ cấp thai sản một lần, giảm thời gian đóng BHXH tự nguyện từ 20 năm xuống 15 năm được hưởng lương hưu...</w:t>
      </w:r>
    </w:p>
    <w:p w:rsidR="00FF6DE7" w:rsidRPr="00305581" w:rsidRDefault="005009E7" w:rsidP="00DD659A">
      <w:pPr>
        <w:pStyle w:val="Default"/>
        <w:spacing w:line="312" w:lineRule="auto"/>
        <w:jc w:val="both"/>
        <w:rPr>
          <w:rFonts w:eastAsia="Times New Roman"/>
          <w:color w:val="auto"/>
          <w:sz w:val="28"/>
          <w:szCs w:val="28"/>
          <w:lang w:val="vi-VN" w:eastAsia="vi-VN"/>
        </w:rPr>
      </w:pPr>
      <w:r w:rsidRPr="00305581">
        <w:rPr>
          <w:rFonts w:eastAsia="Times New Roman"/>
          <w:color w:val="auto"/>
          <w:sz w:val="28"/>
          <w:szCs w:val="28"/>
          <w:lang w:val="vi-VN" w:eastAsia="vi-VN"/>
        </w:rPr>
        <w:tab/>
      </w:r>
      <w:r w:rsidR="00FF6DE7" w:rsidRPr="00305581">
        <w:rPr>
          <w:rFonts w:eastAsia="Times New Roman"/>
          <w:color w:val="auto"/>
          <w:sz w:val="28"/>
          <w:szCs w:val="28"/>
          <w:lang w:val="vi-VN" w:eastAsia="vi-VN"/>
        </w:rPr>
        <w:t>Điều 5 Nghị định số 159/2025/NĐ-CP ngày 25/6/2025 của Chính phủ quy định: người tham gia BHXH tự nguyện được Nhà nước hỗ trợ tiền đóng theo tỷ lệ phần trăm (%) trên mức đóng BHXH tự nguyện hằng tháng theo mức chuẩn hộ nghèo của khu vực nông thôn như sau: Bằng 50 % đối với người tham gia thuộc hộ nghèo; 40 % đối với người tham gia thuộc hộ cận nghèo; 30 % đối với người tham gia là người dân tộc thiểu số và 20 % đối với người tham gia khác.</w:t>
      </w:r>
    </w:p>
    <w:p w:rsidR="00FF6DE7" w:rsidRPr="00305581" w:rsidRDefault="00FF6DE7" w:rsidP="00DD659A">
      <w:pPr>
        <w:pStyle w:val="Default"/>
        <w:spacing w:line="312" w:lineRule="auto"/>
        <w:jc w:val="both"/>
        <w:rPr>
          <w:rFonts w:eastAsia="Times New Roman"/>
          <w:b/>
          <w:i/>
          <w:iCs/>
          <w:color w:val="auto"/>
          <w:sz w:val="28"/>
          <w:lang w:val="vi-VN"/>
        </w:rPr>
      </w:pPr>
      <w:r w:rsidRPr="00305581">
        <w:rPr>
          <w:rFonts w:eastAsia="Times New Roman"/>
          <w:color w:val="auto"/>
          <w:sz w:val="28"/>
          <w:szCs w:val="28"/>
          <w:lang w:val="vi-VN" w:eastAsia="vi-VN"/>
        </w:rPr>
        <w:tab/>
      </w:r>
      <w:r w:rsidR="00DC3626" w:rsidRPr="00305581">
        <w:rPr>
          <w:rFonts w:eastAsia="Times New Roman"/>
          <w:b/>
          <w:i/>
          <w:iCs/>
          <w:color w:val="auto"/>
          <w:sz w:val="28"/>
          <w:lang w:val="vi-VN"/>
        </w:rPr>
        <w:t>1</w:t>
      </w:r>
      <w:r w:rsidR="009F22CA" w:rsidRPr="00305581">
        <w:rPr>
          <w:rFonts w:eastAsia="Times New Roman"/>
          <w:b/>
          <w:i/>
          <w:iCs/>
          <w:color w:val="auto"/>
          <w:sz w:val="28"/>
          <w:lang w:val="vi-VN"/>
        </w:rPr>
        <w:t>.</w:t>
      </w:r>
      <w:r w:rsidR="00431D3F" w:rsidRPr="00305581">
        <w:rPr>
          <w:rFonts w:eastAsia="Times New Roman"/>
          <w:b/>
          <w:i/>
          <w:iCs/>
          <w:color w:val="auto"/>
          <w:sz w:val="28"/>
          <w:lang w:val="vi-VN"/>
        </w:rPr>
        <w:t>4</w:t>
      </w:r>
      <w:r w:rsidRPr="00305581">
        <w:rPr>
          <w:rFonts w:eastAsia="Times New Roman"/>
          <w:b/>
          <w:i/>
          <w:iCs/>
          <w:color w:val="auto"/>
          <w:sz w:val="28"/>
          <w:lang w:val="vi-VN"/>
        </w:rPr>
        <w:t>. Đánh giá nguyên nhân, hạn chế trong gia tăng số người tham gia bảo hiểm xã hội</w:t>
      </w:r>
    </w:p>
    <w:p w:rsidR="00D443C2" w:rsidRPr="00305581" w:rsidRDefault="00D443C2" w:rsidP="00DD659A">
      <w:pPr>
        <w:widowControl w:val="0"/>
        <w:spacing w:line="312" w:lineRule="auto"/>
        <w:ind w:firstLine="709"/>
        <w:jc w:val="both"/>
        <w:rPr>
          <w:rFonts w:eastAsia="Times New Roman"/>
          <w:iCs/>
          <w:color w:val="auto"/>
          <w:lang w:val="vi-VN"/>
        </w:rPr>
      </w:pPr>
      <w:r w:rsidRPr="00305581">
        <w:rPr>
          <w:rFonts w:eastAsia="Times New Roman"/>
          <w:iCs/>
          <w:color w:val="auto"/>
          <w:lang w:val="vi-VN"/>
        </w:rPr>
        <w:t>Tuy</w:t>
      </w:r>
      <w:r w:rsidR="00C500CD" w:rsidRPr="00305581">
        <w:rPr>
          <w:rFonts w:eastAsia="Times New Roman"/>
          <w:iCs/>
          <w:color w:val="auto"/>
          <w:lang w:val="vi-VN"/>
        </w:rPr>
        <w:t xml:space="preserve"> đã triển khai nhiều giải pháp nhằm gia tăng số người tham gia BHXH trên địa bàn, song </w:t>
      </w:r>
      <w:r w:rsidRPr="00305581">
        <w:rPr>
          <w:rFonts w:eastAsia="Times New Roman"/>
          <w:iCs/>
          <w:color w:val="auto"/>
          <w:lang w:val="vi-VN"/>
        </w:rPr>
        <w:t xml:space="preserve">việc duy trì và tăng trưởng bền vững số người tham gia BHXH </w:t>
      </w:r>
      <w:r w:rsidR="00937466" w:rsidRPr="00305581">
        <w:rPr>
          <w:rFonts w:eastAsia="Times New Roman"/>
          <w:iCs/>
          <w:color w:val="auto"/>
          <w:lang w:val="vi-VN"/>
        </w:rPr>
        <w:t>nói chung và bảo hiểm xã hội tự nguyện nói riêng</w:t>
      </w:r>
      <w:r w:rsidRPr="00305581">
        <w:rPr>
          <w:rFonts w:eastAsia="Times New Roman"/>
          <w:iCs/>
          <w:color w:val="auto"/>
          <w:lang w:val="vi-VN"/>
        </w:rPr>
        <w:t xml:space="preserve"> gặp khó khăn, đối mặt với nguy cơ giảm sút </w:t>
      </w:r>
      <w:r w:rsidR="00C500CD" w:rsidRPr="00305581">
        <w:rPr>
          <w:rFonts w:eastAsia="Times New Roman"/>
          <w:iCs/>
          <w:color w:val="auto"/>
          <w:lang w:val="vi-VN"/>
        </w:rPr>
        <w:t>(</w:t>
      </w:r>
      <w:r w:rsidRPr="00305581">
        <w:rPr>
          <w:rFonts w:eastAsia="Times New Roman"/>
          <w:iCs/>
          <w:color w:val="auto"/>
          <w:lang w:val="vi-VN"/>
        </w:rPr>
        <w:t xml:space="preserve">trong </w:t>
      </w:r>
      <w:r w:rsidR="00C500CD" w:rsidRPr="00305581">
        <w:rPr>
          <w:rFonts w:eastAsia="Times New Roman"/>
          <w:iCs/>
          <w:color w:val="auto"/>
          <w:lang w:val="vi-VN"/>
        </w:rPr>
        <w:t>năm 2025 và các năm tiếp theo) do các nguyên nhân sau:</w:t>
      </w:r>
    </w:p>
    <w:p w:rsidR="00FF6DE7" w:rsidRPr="00305581" w:rsidRDefault="00C500CD" w:rsidP="00DD659A">
      <w:pPr>
        <w:widowControl w:val="0"/>
        <w:spacing w:line="312" w:lineRule="auto"/>
        <w:ind w:firstLine="709"/>
        <w:jc w:val="both"/>
        <w:rPr>
          <w:bCs/>
          <w:strike/>
          <w:color w:val="auto"/>
          <w:lang w:val="vi-VN"/>
        </w:rPr>
      </w:pPr>
      <w:r w:rsidRPr="00305581">
        <w:rPr>
          <w:rFonts w:eastAsia="Times New Roman"/>
          <w:iCs/>
          <w:color w:val="auto"/>
          <w:lang w:val="vi-VN"/>
        </w:rPr>
        <w:t xml:space="preserve">- </w:t>
      </w:r>
      <w:r w:rsidR="00FF6DE7" w:rsidRPr="00305581">
        <w:rPr>
          <w:rFonts w:eastAsia="Times New Roman"/>
          <w:iCs/>
          <w:color w:val="auto"/>
          <w:lang w:val="vi-VN"/>
        </w:rPr>
        <w:t xml:space="preserve">Lực lượng lao động </w:t>
      </w:r>
      <w:r w:rsidR="00FF6DE7" w:rsidRPr="00305581">
        <w:rPr>
          <w:color w:val="auto"/>
          <w:lang w:val="vi-VN"/>
        </w:rPr>
        <w:t xml:space="preserve">phần lớn là lao động khu vực phi chính thức, </w:t>
      </w:r>
      <w:r w:rsidR="00FF6DE7" w:rsidRPr="00305581">
        <w:rPr>
          <w:rFonts w:eastAsia="Times New Roman"/>
          <w:iCs/>
          <w:color w:val="auto"/>
          <w:lang w:val="vi-VN"/>
        </w:rPr>
        <w:t xml:space="preserve">lao động </w:t>
      </w:r>
      <w:r w:rsidR="00FF6DE7" w:rsidRPr="00305581">
        <w:rPr>
          <w:rFonts w:eastAsia="Times New Roman"/>
          <w:iCs/>
          <w:color w:val="auto"/>
          <w:lang w:val="vi-VN"/>
        </w:rPr>
        <w:lastRenderedPageBreak/>
        <w:t xml:space="preserve">tự do, </w:t>
      </w:r>
      <w:r w:rsidR="00FF6DE7" w:rsidRPr="00305581">
        <w:rPr>
          <w:color w:val="auto"/>
          <w:lang w:val="vi-VN"/>
        </w:rPr>
        <w:t>nông dân</w:t>
      </w:r>
      <w:r w:rsidR="00B32A67" w:rsidRPr="00305581">
        <w:rPr>
          <w:color w:val="auto"/>
          <w:lang w:val="vi-VN"/>
        </w:rPr>
        <w:t xml:space="preserve"> </w:t>
      </w:r>
      <w:r w:rsidR="00FF6DE7" w:rsidRPr="00305581">
        <w:rPr>
          <w:color w:val="auto"/>
          <w:lang w:val="vi-VN"/>
        </w:rPr>
        <w:t>...</w:t>
      </w:r>
      <w:r w:rsidR="00B32A67" w:rsidRPr="00305581">
        <w:rPr>
          <w:color w:val="auto"/>
          <w:lang w:val="vi-VN"/>
        </w:rPr>
        <w:t xml:space="preserve"> </w:t>
      </w:r>
      <w:r w:rsidR="00FF6DE7" w:rsidRPr="00305581">
        <w:rPr>
          <w:color w:val="auto"/>
          <w:lang w:val="vi-VN"/>
        </w:rPr>
        <w:t xml:space="preserve">có thu thấp, không ổn định, </w:t>
      </w:r>
      <w:r w:rsidR="00FF6DE7" w:rsidRPr="00305581">
        <w:rPr>
          <w:bCs/>
          <w:color w:val="auto"/>
          <w:lang w:val="vi-VN"/>
        </w:rPr>
        <w:t>dễ bị ảnh hưởng bởi thiên tai, dịch bệnh, giá cả thị trường</w:t>
      </w:r>
      <w:r w:rsidR="00FF6DE7" w:rsidRPr="00305581">
        <w:rPr>
          <w:color w:val="auto"/>
          <w:lang w:val="vi-VN"/>
        </w:rPr>
        <w:t xml:space="preserve"> </w:t>
      </w:r>
      <w:r w:rsidR="00FF6DE7" w:rsidRPr="00305581">
        <w:rPr>
          <w:bCs/>
          <w:color w:val="auto"/>
          <w:lang w:val="vi-VN"/>
        </w:rPr>
        <w:t xml:space="preserve">dẫn đến khó khăn trong việc duy trì đóng liên tục hoặc đóng lại sau thời gian gián đoạn, tăng tỷ lệ người </w:t>
      </w:r>
      <w:r w:rsidR="00937466" w:rsidRPr="00305581">
        <w:rPr>
          <w:bCs/>
          <w:color w:val="auto"/>
          <w:lang w:val="vi-VN"/>
        </w:rPr>
        <w:t xml:space="preserve">bỏ </w:t>
      </w:r>
      <w:r w:rsidR="00FF6DE7" w:rsidRPr="00305581">
        <w:rPr>
          <w:bCs/>
          <w:color w:val="auto"/>
          <w:lang w:val="vi-VN"/>
        </w:rPr>
        <w:t>tham gia</w:t>
      </w:r>
      <w:r w:rsidR="00DC0A7B" w:rsidRPr="00305581">
        <w:rPr>
          <w:bCs/>
          <w:color w:val="auto"/>
          <w:lang w:val="vi-VN"/>
        </w:rPr>
        <w:t>…</w:t>
      </w:r>
    </w:p>
    <w:p w:rsidR="00FF6DE7" w:rsidRPr="00305581" w:rsidRDefault="00C500CD" w:rsidP="00DD659A">
      <w:pPr>
        <w:widowControl w:val="0"/>
        <w:spacing w:line="312" w:lineRule="auto"/>
        <w:ind w:firstLine="709"/>
        <w:jc w:val="both"/>
        <w:rPr>
          <w:bCs/>
          <w:i/>
          <w:color w:val="auto"/>
          <w:lang w:val="vi-VN"/>
        </w:rPr>
      </w:pPr>
      <w:r w:rsidRPr="00305581">
        <w:rPr>
          <w:bCs/>
          <w:color w:val="auto"/>
          <w:lang w:val="vi-VN"/>
        </w:rPr>
        <w:t>- D</w:t>
      </w:r>
      <w:r w:rsidR="00FF6DE7" w:rsidRPr="00305581">
        <w:rPr>
          <w:bCs/>
          <w:color w:val="auto"/>
          <w:lang w:val="vi-VN"/>
        </w:rPr>
        <w:t>o khoảng cách địa lý, điều kiện kinh tế, hạ tầng thông tin, trình độ nhận thức về tính dài hạn và lợi ích hưu trí của BHXH tự nguyện chưa sâu rộng, đặc biệt ở vùng đồng bào dân tộc thiểu số nên việc tiếp cận người dân tại các xã vùng sâu, vùng cao còn nhiều khó khăn dẫn đến việc tham gia gián đoạn của người đã tham gia và giảm tỷ lệ người đăng ký mớ</w:t>
      </w:r>
      <w:r w:rsidRPr="00305581">
        <w:rPr>
          <w:bCs/>
          <w:color w:val="auto"/>
          <w:lang w:val="vi-VN"/>
        </w:rPr>
        <w:t xml:space="preserve">i, công tác tuyên truyền, vận động tuy đã được </w:t>
      </w:r>
      <w:r w:rsidR="00937466" w:rsidRPr="00305581">
        <w:rPr>
          <w:bCs/>
          <w:color w:val="auto"/>
          <w:lang w:val="vi-VN"/>
        </w:rPr>
        <w:t xml:space="preserve">quan tâm </w:t>
      </w:r>
      <w:r w:rsidRPr="00305581">
        <w:rPr>
          <w:bCs/>
          <w:color w:val="auto"/>
          <w:lang w:val="vi-VN"/>
        </w:rPr>
        <w:t>song hiệu quả chưa rõ rệt.</w:t>
      </w:r>
    </w:p>
    <w:p w:rsidR="00FF6DE7" w:rsidRPr="00305581" w:rsidRDefault="00C500CD" w:rsidP="00DD659A">
      <w:pPr>
        <w:widowControl w:val="0"/>
        <w:spacing w:line="312" w:lineRule="auto"/>
        <w:ind w:firstLine="709"/>
        <w:jc w:val="both"/>
        <w:rPr>
          <w:bCs/>
          <w:color w:val="auto"/>
          <w:lang w:val="vi-VN"/>
        </w:rPr>
      </w:pPr>
      <w:r w:rsidRPr="00305581">
        <w:rPr>
          <w:bCs/>
          <w:color w:val="auto"/>
          <w:lang w:val="vi-VN"/>
        </w:rPr>
        <w:t xml:space="preserve">- </w:t>
      </w:r>
      <w:r w:rsidR="00FF6DE7" w:rsidRPr="00305581">
        <w:rPr>
          <w:bCs/>
          <w:color w:val="auto"/>
          <w:lang w:val="vi-VN"/>
        </w:rPr>
        <w:t>Yếu tố tâm lý và lòng tin của người dân chưa cao: Nhiều người dân vẫn ưu tiên tích lũy tiền mặt, gửi tiết kiệm hoặc mua sắm tài sản (đất đai)... thay vì tham gia quỹ BHXH dài hạn để hưởng lương hưu dẫn đến chần chừ tham gia, trì hoãn việc đóng BHXH tự nguyện. Đồng thời, việc đóng BHXH tự nguyện đồng nghĩa với việc trích một phần thu nhập hiện tại với nguồn “tiền cho tương lai”, nên người dân thường ưu tiên chi tiêu, đảm bảo cuộc sống sinh hoạt hiện tại.</w:t>
      </w:r>
    </w:p>
    <w:p w:rsidR="00FF6DE7" w:rsidRPr="00305581" w:rsidRDefault="00FF6DE7" w:rsidP="00DD659A">
      <w:pPr>
        <w:widowControl w:val="0"/>
        <w:spacing w:line="312" w:lineRule="auto"/>
        <w:ind w:firstLine="709"/>
        <w:jc w:val="both"/>
        <w:rPr>
          <w:bCs/>
          <w:color w:val="auto"/>
          <w:lang w:val="vi-VN"/>
        </w:rPr>
      </w:pPr>
      <w:r w:rsidRPr="00305581">
        <w:rPr>
          <w:bCs/>
          <w:color w:val="auto"/>
          <w:lang w:val="vi-VN"/>
        </w:rPr>
        <w:t>- Mức đóng tối thiểu: Thu nhập đóng BHXH tự nguyện tối thiểu được tính trên chuẩn hộ nghèo khu vực nông thôn (1.500.000 đồng/tháng), mức đóng tối thiểu (22% thu nhập) là 330.000 đồng/tháng (nếu chưa trừ hỗ trợ). Đây không phải số tiền lớn, tuy nhiên đối với người thu nhập thấp vẫn là một khoản chi tiêu đáng kể ngay cả khi đã được hỗ trợ, tạo ra áp lực tài chính, làm chùn bước người mới tham gia và khó khăn cho người tiếp tục tham gia sau thời gian tạm dừng.</w:t>
      </w:r>
    </w:p>
    <w:p w:rsidR="00FF6DE7" w:rsidRPr="00305581" w:rsidRDefault="00FF6DE7" w:rsidP="00DD659A">
      <w:pPr>
        <w:widowControl w:val="0"/>
        <w:spacing w:line="312" w:lineRule="auto"/>
        <w:ind w:firstLine="709"/>
        <w:jc w:val="both"/>
        <w:rPr>
          <w:bCs/>
          <w:color w:val="auto"/>
          <w:lang w:val="vi-VN"/>
        </w:rPr>
      </w:pPr>
      <w:r w:rsidRPr="00305581">
        <w:rPr>
          <w:bCs/>
          <w:color w:val="auto"/>
          <w:lang w:val="vi-VN"/>
        </w:rPr>
        <w:t xml:space="preserve">- Cơ cấu lao động, di cư lao động biến động thường xuyên, khó tiếp cận: Nhiều lao động có hộ khẩu tại </w:t>
      </w:r>
      <w:r w:rsidR="00B32A67" w:rsidRPr="00305581">
        <w:rPr>
          <w:bCs/>
          <w:color w:val="auto"/>
          <w:lang w:val="vi-VN"/>
        </w:rPr>
        <w:t xml:space="preserve">Thái Nguyên </w:t>
      </w:r>
      <w:r w:rsidRPr="00305581">
        <w:rPr>
          <w:bCs/>
          <w:color w:val="auto"/>
          <w:lang w:val="vi-VN"/>
        </w:rPr>
        <w:t>nhưng làm việc ở tỉnh khác hoặc làm mùa vụ, làm thuê, thay đổi địa điểm làm việc liên tục ảnh hưởng đến việc vận động, thu và quản lý họ tham gia BHXH tự nguyện, thống kê số người tham gia BHXH trong lực lượng lao động khó khăn, chưa đầy đủ.</w:t>
      </w:r>
    </w:p>
    <w:p w:rsidR="00FF6DE7" w:rsidRPr="00305581" w:rsidRDefault="00FF6DE7" w:rsidP="00DD659A">
      <w:pPr>
        <w:widowControl w:val="0"/>
        <w:spacing w:line="312" w:lineRule="auto"/>
        <w:ind w:firstLine="709"/>
        <w:jc w:val="both"/>
        <w:rPr>
          <w:color w:val="auto"/>
          <w:lang w:val="vi-VN"/>
        </w:rPr>
      </w:pPr>
      <w:r w:rsidRPr="00305581">
        <w:rPr>
          <w:bCs/>
          <w:color w:val="auto"/>
          <w:lang w:val="vi-VN"/>
        </w:rPr>
        <w:t xml:space="preserve">- Công tác </w:t>
      </w:r>
      <w:r w:rsidRPr="00305581">
        <w:rPr>
          <w:color w:val="auto"/>
          <w:lang w:val="vi-VN"/>
        </w:rPr>
        <w:t>quản lý, đối chiếu dữ liệu, chi trả hỗ trợ hiện nay vẫn thực hiện theo phương pháp thủ công dựa trên các giấy tờ, văn bản do người tham gia cung cấp, để làm căn cứ cho việc xác định đối tượng đóng, do vậy đã phát sinh thêm thủ tục hành chính đối với người dân khi đăng ký tham gia BHXH tự nguyện, nộp tiền đóng theo định kỳ, đồng thời cũng gây khó khăn cho cơ quan quản lý thu trong việc đối chiếu, xác định đối tượng do không có cơ sở dữ liệu chung để rà soát, đối chiếu số liệu xác định mức ngân sách nhà nước hỗ trợ đóng để đề xuất cơ quan quản lý cấp kinh phí kịp thời.</w:t>
      </w:r>
    </w:p>
    <w:p w:rsidR="00C500CD" w:rsidRPr="00305581" w:rsidRDefault="00D3412B" w:rsidP="00DD659A">
      <w:pPr>
        <w:widowControl w:val="0"/>
        <w:spacing w:line="312" w:lineRule="auto"/>
        <w:ind w:firstLine="709"/>
        <w:jc w:val="both"/>
        <w:rPr>
          <w:color w:val="auto"/>
          <w:lang w:val="vi-VN"/>
        </w:rPr>
      </w:pPr>
      <w:r w:rsidRPr="00305581">
        <w:rPr>
          <w:color w:val="auto"/>
          <w:lang w:val="vi-VN"/>
        </w:rPr>
        <w:lastRenderedPageBreak/>
        <w:t xml:space="preserve">- </w:t>
      </w:r>
      <w:r w:rsidR="00C500CD" w:rsidRPr="00305581">
        <w:rPr>
          <w:color w:val="auto"/>
          <w:lang w:val="vi-VN"/>
        </w:rPr>
        <w:t>Ngoài ra sự bất ổn về tình hình</w:t>
      </w:r>
      <w:r w:rsidR="007C3A41" w:rsidRPr="00305581">
        <w:rPr>
          <w:color w:val="auto"/>
          <w:lang w:val="vi-VN"/>
        </w:rPr>
        <w:t xml:space="preserve"> kinh tế,</w:t>
      </w:r>
      <w:r w:rsidR="00C500CD" w:rsidRPr="00305581">
        <w:rPr>
          <w:color w:val="auto"/>
          <w:lang w:val="vi-VN"/>
        </w:rPr>
        <w:t xml:space="preserve"> chính trị</w:t>
      </w:r>
      <w:r w:rsidR="007C3A41" w:rsidRPr="00305581">
        <w:rPr>
          <w:color w:val="auto"/>
          <w:lang w:val="vi-VN"/>
        </w:rPr>
        <w:t>, xã hội</w:t>
      </w:r>
      <w:r w:rsidR="00C500CD" w:rsidRPr="00305581">
        <w:rPr>
          <w:color w:val="auto"/>
          <w:lang w:val="vi-VN"/>
        </w:rPr>
        <w:t xml:space="preserve"> trên thế giới và ảnh hưởng b</w:t>
      </w:r>
      <w:r w:rsidR="000E57A0" w:rsidRPr="00305581">
        <w:rPr>
          <w:color w:val="auto"/>
          <w:lang w:val="vi-VN"/>
        </w:rPr>
        <w:t>ấ</w:t>
      </w:r>
      <w:r w:rsidR="00C500CD" w:rsidRPr="00305581">
        <w:rPr>
          <w:color w:val="auto"/>
          <w:lang w:val="vi-VN"/>
        </w:rPr>
        <w:t xml:space="preserve">t lợi từ thiên tai, dịch bệnh, </w:t>
      </w:r>
      <w:r w:rsidR="002F775F" w:rsidRPr="00305581">
        <w:rPr>
          <w:color w:val="auto"/>
          <w:lang w:val="vi-VN"/>
        </w:rPr>
        <w:t>tình hình sản xuất, kinh doanh của các doanh nghiệp, cơ sở bị ảnh hưởng, tác động đến nhu cầu sử dụng lao động hàng năm</w:t>
      </w:r>
      <w:r w:rsidR="000E57A0" w:rsidRPr="00305581">
        <w:rPr>
          <w:color w:val="auto"/>
          <w:lang w:val="vi-VN"/>
        </w:rPr>
        <w:t xml:space="preserve"> (</w:t>
      </w:r>
      <w:r w:rsidR="002F775F" w:rsidRPr="00305581">
        <w:rPr>
          <w:color w:val="auto"/>
          <w:lang w:val="vi-VN"/>
        </w:rPr>
        <w:t>đối tượng tham gia BHXH bắt buộc</w:t>
      </w:r>
      <w:r w:rsidR="00DC0A7B" w:rsidRPr="00305581">
        <w:rPr>
          <w:color w:val="auto"/>
          <w:lang w:val="vi-VN"/>
        </w:rPr>
        <w:t xml:space="preserve"> </w:t>
      </w:r>
      <w:r w:rsidR="00C500CD" w:rsidRPr="00305581">
        <w:rPr>
          <w:color w:val="auto"/>
          <w:lang w:val="vi-VN"/>
        </w:rPr>
        <w:t>nguy cơ giảm sút</w:t>
      </w:r>
      <w:r w:rsidR="007C3A41" w:rsidRPr="00305581">
        <w:rPr>
          <w:color w:val="auto"/>
          <w:lang w:val="vi-VN"/>
        </w:rPr>
        <w:t xml:space="preserve"> cao)</w:t>
      </w:r>
      <w:r w:rsidR="002F775F" w:rsidRPr="00305581">
        <w:rPr>
          <w:color w:val="auto"/>
          <w:lang w:val="vi-VN"/>
        </w:rPr>
        <w:t>.</w:t>
      </w:r>
    </w:p>
    <w:p w:rsidR="00286FCE" w:rsidRPr="00305581" w:rsidRDefault="00DC3626" w:rsidP="00DD659A">
      <w:pPr>
        <w:widowControl w:val="0"/>
        <w:spacing w:line="312" w:lineRule="auto"/>
        <w:ind w:firstLine="709"/>
        <w:jc w:val="both"/>
        <w:rPr>
          <w:rFonts w:eastAsia="Times New Roman"/>
          <w:b/>
          <w:color w:val="auto"/>
          <w:lang w:val="vi-VN" w:eastAsia="vi-VN"/>
        </w:rPr>
      </w:pPr>
      <w:r w:rsidRPr="00305581">
        <w:rPr>
          <w:rFonts w:eastAsia="Times New Roman"/>
          <w:b/>
          <w:color w:val="auto"/>
          <w:lang w:val="vi-VN" w:eastAsia="vi-VN"/>
        </w:rPr>
        <w:t>2</w:t>
      </w:r>
      <w:r w:rsidR="00C31F08" w:rsidRPr="00305581">
        <w:rPr>
          <w:rFonts w:eastAsia="Times New Roman"/>
          <w:b/>
          <w:color w:val="auto"/>
          <w:lang w:val="vi-VN" w:eastAsia="vi-VN"/>
        </w:rPr>
        <w:t xml:space="preserve">. </w:t>
      </w:r>
      <w:r w:rsidR="00286FCE" w:rsidRPr="00305581">
        <w:rPr>
          <w:rFonts w:eastAsia="Times New Roman"/>
          <w:b/>
          <w:color w:val="auto"/>
          <w:lang w:val="vi-VN" w:eastAsia="vi-VN"/>
        </w:rPr>
        <w:t>Mục tiêu</w:t>
      </w:r>
      <w:r w:rsidR="009F22CA" w:rsidRPr="00305581">
        <w:rPr>
          <w:rFonts w:eastAsia="Times New Roman"/>
          <w:b/>
          <w:color w:val="auto"/>
          <w:lang w:val="vi-VN" w:eastAsia="vi-VN"/>
        </w:rPr>
        <w:t>, giải pháp</w:t>
      </w:r>
      <w:r w:rsidR="00286FCE" w:rsidRPr="00305581">
        <w:rPr>
          <w:rFonts w:eastAsia="Times New Roman"/>
          <w:b/>
          <w:color w:val="auto"/>
          <w:lang w:val="vi-VN" w:eastAsia="vi-VN"/>
        </w:rPr>
        <w:t xml:space="preserve"> phát triển BHXH đến năm 2030</w:t>
      </w:r>
    </w:p>
    <w:p w:rsidR="009F22CA" w:rsidRPr="00305581" w:rsidRDefault="00DC3626" w:rsidP="00DD659A">
      <w:pPr>
        <w:widowControl w:val="0"/>
        <w:spacing w:line="312" w:lineRule="auto"/>
        <w:ind w:firstLine="709"/>
        <w:jc w:val="both"/>
        <w:rPr>
          <w:rFonts w:eastAsia="Times New Roman"/>
          <w:b/>
          <w:i/>
          <w:color w:val="auto"/>
          <w:lang w:val="vi-VN" w:eastAsia="vi-VN"/>
        </w:rPr>
      </w:pPr>
      <w:r w:rsidRPr="00305581">
        <w:rPr>
          <w:rFonts w:eastAsia="Times New Roman"/>
          <w:b/>
          <w:i/>
          <w:color w:val="auto"/>
          <w:lang w:val="vi-VN" w:eastAsia="vi-VN"/>
        </w:rPr>
        <w:t>2</w:t>
      </w:r>
      <w:r w:rsidR="009F22CA" w:rsidRPr="00305581">
        <w:rPr>
          <w:rFonts w:eastAsia="Times New Roman"/>
          <w:b/>
          <w:i/>
          <w:color w:val="auto"/>
          <w:lang w:val="vi-VN" w:eastAsia="vi-VN"/>
        </w:rPr>
        <w:t>.1 Mục tiêu phát triển BHXH đến năm 2030</w:t>
      </w:r>
    </w:p>
    <w:p w:rsidR="00F82BB6" w:rsidRPr="00305581" w:rsidRDefault="001528A3" w:rsidP="00DD659A">
      <w:pPr>
        <w:widowControl w:val="0"/>
        <w:spacing w:line="312" w:lineRule="auto"/>
        <w:ind w:firstLine="709"/>
        <w:jc w:val="both"/>
        <w:rPr>
          <w:rFonts w:eastAsia="Times New Roman"/>
          <w:color w:val="auto"/>
          <w:lang w:val="vi-VN" w:eastAsia="vi-VN"/>
        </w:rPr>
      </w:pPr>
      <w:r w:rsidRPr="00305581">
        <w:rPr>
          <w:rFonts w:eastAsia="Times New Roman"/>
          <w:color w:val="auto"/>
          <w:lang w:val="vi-VN" w:eastAsia="vi-VN"/>
        </w:rPr>
        <w:t xml:space="preserve">Hiện nay, số người </w:t>
      </w:r>
      <w:r w:rsidR="002F775F" w:rsidRPr="00305581">
        <w:rPr>
          <w:rFonts w:eastAsia="Times New Roman"/>
          <w:color w:val="auto"/>
          <w:lang w:val="vi-VN" w:eastAsia="vi-VN"/>
        </w:rPr>
        <w:t xml:space="preserve">của tỉnh </w:t>
      </w:r>
      <w:r w:rsidRPr="00305581">
        <w:rPr>
          <w:rFonts w:eastAsia="Times New Roman"/>
          <w:color w:val="auto"/>
          <w:lang w:val="vi-VN" w:eastAsia="vi-VN"/>
        </w:rPr>
        <w:t xml:space="preserve">tham gia BHXH khoảng </w:t>
      </w:r>
      <w:r w:rsidR="00B32A67" w:rsidRPr="00305581">
        <w:rPr>
          <w:rFonts w:eastAsia="Times New Roman"/>
          <w:color w:val="auto"/>
          <w:lang w:val="vi-VN" w:eastAsia="vi-VN"/>
        </w:rPr>
        <w:t>336.000</w:t>
      </w:r>
      <w:r w:rsidRPr="00305581">
        <w:rPr>
          <w:rFonts w:eastAsia="Times New Roman"/>
          <w:color w:val="auto"/>
          <w:lang w:val="vi-VN" w:eastAsia="vi-VN"/>
        </w:rPr>
        <w:t xml:space="preserve"> người (</w:t>
      </w:r>
      <w:r w:rsidR="002F775F" w:rsidRPr="00305581">
        <w:rPr>
          <w:rFonts w:eastAsia="Times New Roman"/>
          <w:color w:val="auto"/>
          <w:lang w:val="vi-VN" w:eastAsia="vi-VN"/>
        </w:rPr>
        <w:t xml:space="preserve">trong đó </w:t>
      </w:r>
      <w:r w:rsidR="00B32A67" w:rsidRPr="00305581">
        <w:rPr>
          <w:rFonts w:eastAsia="Times New Roman"/>
          <w:color w:val="auto"/>
          <w:lang w:val="vi-VN" w:eastAsia="vi-VN"/>
        </w:rPr>
        <w:t>285.500</w:t>
      </w:r>
      <w:r w:rsidR="002F775F" w:rsidRPr="00305581">
        <w:rPr>
          <w:rFonts w:eastAsia="Times New Roman"/>
          <w:color w:val="auto"/>
          <w:lang w:val="vi-VN" w:eastAsia="vi-VN"/>
        </w:rPr>
        <w:t xml:space="preserve"> </w:t>
      </w:r>
      <w:r w:rsidRPr="00305581">
        <w:rPr>
          <w:color w:val="auto"/>
          <w:lang w:val="vi-VN" w:eastAsia="vi-VN"/>
        </w:rPr>
        <w:t>người tham gia BHXH bắt buộc</w:t>
      </w:r>
      <w:r w:rsidR="002F775F" w:rsidRPr="00305581">
        <w:rPr>
          <w:color w:val="auto"/>
          <w:lang w:val="vi-VN" w:eastAsia="vi-VN"/>
        </w:rPr>
        <w:t xml:space="preserve">, </w:t>
      </w:r>
      <w:r w:rsidR="002F775F" w:rsidRPr="00305581">
        <w:rPr>
          <w:rFonts w:eastAsia="Times New Roman"/>
          <w:color w:val="auto"/>
          <w:lang w:val="vi-VN" w:eastAsia="vi-VN"/>
        </w:rPr>
        <w:t>chiếm 8</w:t>
      </w:r>
      <w:r w:rsidR="00273EDC" w:rsidRPr="00305581">
        <w:rPr>
          <w:rFonts w:eastAsia="Times New Roman"/>
          <w:color w:val="auto"/>
          <w:lang w:val="vi-VN" w:eastAsia="vi-VN"/>
        </w:rPr>
        <w:t>5,0</w:t>
      </w:r>
      <w:r w:rsidR="002F775F" w:rsidRPr="00305581">
        <w:rPr>
          <w:rFonts w:eastAsia="Times New Roman"/>
          <w:color w:val="auto"/>
          <w:lang w:val="vi-VN" w:eastAsia="vi-VN"/>
        </w:rPr>
        <w:t xml:space="preserve">% số người tham gia BHXH và khoảng </w:t>
      </w:r>
      <w:r w:rsidR="00273EDC" w:rsidRPr="00305581">
        <w:rPr>
          <w:color w:val="auto"/>
          <w:lang w:val="vi-VN" w:eastAsia="vi-VN"/>
        </w:rPr>
        <w:t>50.500</w:t>
      </w:r>
      <w:r w:rsidR="002F775F" w:rsidRPr="00305581">
        <w:rPr>
          <w:color w:val="auto"/>
          <w:lang w:val="vi-VN" w:eastAsia="vi-VN"/>
        </w:rPr>
        <w:t xml:space="preserve"> người tham gia BHXH tự nguyện (chiếm 1</w:t>
      </w:r>
      <w:r w:rsidR="00273EDC" w:rsidRPr="00305581">
        <w:rPr>
          <w:color w:val="auto"/>
          <w:lang w:val="vi-VN" w:eastAsia="vi-VN"/>
        </w:rPr>
        <w:t>5,0</w:t>
      </w:r>
      <w:r w:rsidR="002F775F" w:rsidRPr="00305581">
        <w:rPr>
          <w:color w:val="auto"/>
          <w:lang w:val="vi-VN" w:eastAsia="vi-VN"/>
        </w:rPr>
        <w:t>%</w:t>
      </w:r>
      <w:r w:rsidRPr="00305581">
        <w:rPr>
          <w:color w:val="auto"/>
          <w:lang w:val="vi-VN" w:eastAsia="vi-VN"/>
        </w:rPr>
        <w:t>)</w:t>
      </w:r>
      <w:r w:rsidRPr="00305581">
        <w:rPr>
          <w:rFonts w:eastAsia="Times New Roman"/>
          <w:color w:val="auto"/>
          <w:lang w:val="vi-VN" w:eastAsia="vi-VN"/>
        </w:rPr>
        <w:t xml:space="preserve">. </w:t>
      </w:r>
    </w:p>
    <w:p w:rsidR="006F6E2B" w:rsidRPr="00305581" w:rsidRDefault="006F6E2B" w:rsidP="00DD659A">
      <w:pPr>
        <w:widowControl w:val="0"/>
        <w:spacing w:line="312" w:lineRule="auto"/>
        <w:ind w:firstLine="709"/>
        <w:jc w:val="both"/>
        <w:rPr>
          <w:color w:val="auto"/>
          <w:lang w:val="vi-VN"/>
        </w:rPr>
      </w:pPr>
      <w:r w:rsidRPr="00305581">
        <w:rPr>
          <w:color w:val="auto"/>
          <w:lang w:val="vi-VN"/>
        </w:rPr>
        <w:t xml:space="preserve">Trong khi đó, theo chỉ tiêu Chính phủ giao tại Nghị quyết số 403/NQ-CP, đến năm 2030 tỉnh Thái Nguyên cần đạt 508.294 người tham gia BHXH. Như vậy, toàn tỉnh còn thiếu khoảng 175.000 người tham gia BHXH để hoàn thành mục tiêu được giao, trong đó dự kiến phải phát triển thêm khoảng 23.000 người tham gia BHXH tự nguyện. </w:t>
      </w:r>
    </w:p>
    <w:p w:rsidR="001249B1" w:rsidRPr="00305581" w:rsidRDefault="00944804" w:rsidP="00DD659A">
      <w:pPr>
        <w:widowControl w:val="0"/>
        <w:spacing w:line="312" w:lineRule="auto"/>
        <w:ind w:firstLine="709"/>
        <w:jc w:val="both"/>
        <w:rPr>
          <w:rFonts w:eastAsia="Times New Roman"/>
          <w:color w:val="auto"/>
          <w:lang w:val="vi-VN" w:eastAsia="vi-VN"/>
        </w:rPr>
      </w:pPr>
      <w:r w:rsidRPr="00305581">
        <w:rPr>
          <w:rFonts w:eastAsia="Times New Roman"/>
          <w:color w:val="auto"/>
          <w:lang w:val="vi-VN" w:eastAsia="vi-VN"/>
        </w:rPr>
        <w:t>T</w:t>
      </w:r>
      <w:r w:rsidR="00DA0BEB" w:rsidRPr="00305581">
        <w:rPr>
          <w:rFonts w:eastAsia="Times New Roman"/>
          <w:color w:val="auto"/>
          <w:lang w:val="vi-VN" w:eastAsia="vi-VN"/>
        </w:rPr>
        <w:t xml:space="preserve">hực tế </w:t>
      </w:r>
      <w:r w:rsidRPr="00305581">
        <w:rPr>
          <w:rFonts w:eastAsia="Times New Roman"/>
          <w:color w:val="auto"/>
          <w:lang w:val="vi-VN" w:eastAsia="vi-VN"/>
        </w:rPr>
        <w:t>lực lượng lao động của tỉnh chủ yếu tham gia lao động ngoài khu vực có quan hệ lao động (lao động phi chính thức); số lượng doanh nghiệp trên địa bàn tỉnh chủ yếu là doanh nghiệp nhỏ</w:t>
      </w:r>
      <w:r w:rsidR="006F6E2B" w:rsidRPr="00305581">
        <w:rPr>
          <w:rFonts w:eastAsia="Times New Roman"/>
          <w:color w:val="auto"/>
          <w:lang w:val="vi-VN" w:eastAsia="vi-VN"/>
        </w:rPr>
        <w:t>, ít lao động</w:t>
      </w:r>
      <w:r w:rsidRPr="00305581">
        <w:rPr>
          <w:rFonts w:eastAsia="Times New Roman"/>
          <w:color w:val="auto"/>
          <w:lang w:val="vi-VN" w:eastAsia="vi-VN"/>
        </w:rPr>
        <w:t xml:space="preserve">, </w:t>
      </w:r>
      <w:r w:rsidR="006F6E2B" w:rsidRPr="00305581">
        <w:rPr>
          <w:rFonts w:eastAsia="Times New Roman"/>
          <w:color w:val="auto"/>
          <w:lang w:val="vi-VN" w:eastAsia="vi-VN"/>
        </w:rPr>
        <w:t xml:space="preserve">các doanh nghiệp có vốn đầu tư nước ngoài tuy mở rộng đầu tư sản xuất kinh doanh nhưng sẽ chú trọng vào việc </w:t>
      </w:r>
      <w:r w:rsidR="0093780D" w:rsidRPr="00305581">
        <w:rPr>
          <w:rFonts w:eastAsia="Times New Roman"/>
          <w:color w:val="auto"/>
          <w:lang w:val="vi-VN" w:eastAsia="vi-VN"/>
        </w:rPr>
        <w:t>áp dụng công nghệ AI để chuyển đổi số, tự động hóa sử dụng, giảm dần sử dụng nhân công</w:t>
      </w:r>
      <w:r w:rsidRPr="00305581">
        <w:rPr>
          <w:rFonts w:eastAsia="Times New Roman"/>
          <w:color w:val="auto"/>
          <w:lang w:val="vi-VN" w:eastAsia="vi-VN"/>
        </w:rPr>
        <w:t xml:space="preserve">; </w:t>
      </w:r>
      <w:r w:rsidR="001249B1" w:rsidRPr="00305581">
        <w:rPr>
          <w:rFonts w:eastAsia="Times New Roman"/>
          <w:color w:val="auto"/>
          <w:lang w:val="vi-VN" w:eastAsia="vi-VN"/>
        </w:rPr>
        <w:t>s</w:t>
      </w:r>
      <w:r w:rsidRPr="00305581">
        <w:rPr>
          <w:rFonts w:eastAsia="Times New Roman"/>
          <w:color w:val="auto"/>
          <w:lang w:val="vi-VN" w:eastAsia="vi-VN"/>
        </w:rPr>
        <w:t xml:space="preserve">ố lượng lao động của tỉnh đi làm việc ngoài tỉnh tương đối lớn, </w:t>
      </w:r>
      <w:r w:rsidR="00B70FC0" w:rsidRPr="00305581">
        <w:rPr>
          <w:rFonts w:eastAsia="Times New Roman"/>
          <w:color w:val="auto"/>
          <w:lang w:val="vi-VN" w:eastAsia="vi-VN"/>
        </w:rPr>
        <w:t xml:space="preserve">nhưng </w:t>
      </w:r>
      <w:r w:rsidRPr="00305581">
        <w:rPr>
          <w:rFonts w:eastAsia="Times New Roman"/>
          <w:color w:val="auto"/>
          <w:lang w:val="vi-VN" w:eastAsia="vi-VN"/>
        </w:rPr>
        <w:t xml:space="preserve">sau độ tuổi lao động vàng thì hầu hết các khu công nghiệp không còn tuyển dụng, </w:t>
      </w:r>
      <w:r w:rsidR="009A00F9" w:rsidRPr="00305581">
        <w:rPr>
          <w:rFonts w:eastAsia="Times New Roman"/>
          <w:color w:val="auto"/>
          <w:lang w:val="vi-VN" w:eastAsia="vi-VN"/>
        </w:rPr>
        <w:t>lao động thất nghiệp tăng</w:t>
      </w:r>
      <w:r w:rsidR="0093780D" w:rsidRPr="00305581">
        <w:rPr>
          <w:rFonts w:eastAsia="Times New Roman"/>
          <w:color w:val="auto"/>
          <w:lang w:val="vi-VN" w:eastAsia="vi-VN"/>
        </w:rPr>
        <w:t xml:space="preserve"> ..</w:t>
      </w:r>
      <w:r w:rsidR="001249B1" w:rsidRPr="00305581">
        <w:rPr>
          <w:rFonts w:eastAsia="Times New Roman"/>
          <w:color w:val="auto"/>
          <w:lang w:val="vi-VN" w:eastAsia="vi-VN"/>
        </w:rPr>
        <w:t>.</w:t>
      </w:r>
    </w:p>
    <w:p w:rsidR="005E6E51" w:rsidRPr="00305581" w:rsidRDefault="00DC3626" w:rsidP="00DD659A">
      <w:pPr>
        <w:widowControl w:val="0"/>
        <w:spacing w:line="312" w:lineRule="auto"/>
        <w:ind w:firstLine="709"/>
        <w:jc w:val="both"/>
        <w:rPr>
          <w:rFonts w:eastAsia="Times New Roman"/>
          <w:b/>
          <w:i/>
          <w:color w:val="auto"/>
          <w:lang w:val="vi-VN" w:eastAsia="vi-VN"/>
        </w:rPr>
      </w:pPr>
      <w:r w:rsidRPr="00305581">
        <w:rPr>
          <w:rFonts w:eastAsia="Times New Roman"/>
          <w:b/>
          <w:i/>
          <w:color w:val="auto"/>
          <w:lang w:val="vi-VN" w:eastAsia="vi-VN"/>
        </w:rPr>
        <w:t>2</w:t>
      </w:r>
      <w:r w:rsidR="002C7B5D" w:rsidRPr="00305581">
        <w:rPr>
          <w:rFonts w:eastAsia="Times New Roman"/>
          <w:b/>
          <w:i/>
          <w:color w:val="auto"/>
          <w:lang w:val="vi-VN" w:eastAsia="vi-VN"/>
        </w:rPr>
        <w:t>.</w:t>
      </w:r>
      <w:r w:rsidR="009F22CA" w:rsidRPr="00305581">
        <w:rPr>
          <w:rFonts w:eastAsia="Times New Roman"/>
          <w:b/>
          <w:i/>
          <w:color w:val="auto"/>
          <w:lang w:val="vi-VN" w:eastAsia="vi-VN"/>
        </w:rPr>
        <w:t>2</w:t>
      </w:r>
      <w:r w:rsidR="00A02A24" w:rsidRPr="00305581">
        <w:rPr>
          <w:rFonts w:eastAsia="Times New Roman"/>
          <w:b/>
          <w:i/>
          <w:color w:val="auto"/>
          <w:lang w:val="vi-VN" w:eastAsia="vi-VN"/>
        </w:rPr>
        <w:t>.</w:t>
      </w:r>
      <w:r w:rsidR="002C7B5D" w:rsidRPr="00305581">
        <w:rPr>
          <w:rFonts w:eastAsia="Times New Roman"/>
          <w:b/>
          <w:i/>
          <w:color w:val="auto"/>
          <w:lang w:val="vi-VN" w:eastAsia="vi-VN"/>
        </w:rPr>
        <w:t xml:space="preserve"> </w:t>
      </w:r>
      <w:r w:rsidR="005E6E51" w:rsidRPr="00305581">
        <w:rPr>
          <w:rFonts w:eastAsia="Times New Roman"/>
          <w:b/>
          <w:i/>
          <w:color w:val="auto"/>
          <w:lang w:val="vi-VN" w:eastAsia="vi-VN"/>
        </w:rPr>
        <w:t xml:space="preserve">Giải pháp gia tăng số người tham gia bảo hiểm xã hội </w:t>
      </w:r>
    </w:p>
    <w:p w:rsidR="00764BA5" w:rsidRPr="00305581" w:rsidRDefault="001249B1" w:rsidP="00DD659A">
      <w:pPr>
        <w:widowControl w:val="0"/>
        <w:spacing w:line="312" w:lineRule="auto"/>
        <w:ind w:firstLine="709"/>
        <w:jc w:val="both"/>
        <w:rPr>
          <w:rFonts w:eastAsia="Times New Roman"/>
          <w:color w:val="auto"/>
          <w:lang w:val="vi-VN" w:eastAsia="vi-VN"/>
        </w:rPr>
      </w:pPr>
      <w:r w:rsidRPr="00305581">
        <w:rPr>
          <w:rFonts w:eastAsia="Times New Roman"/>
          <w:color w:val="auto"/>
          <w:lang w:val="vi-VN" w:eastAsia="vi-VN"/>
        </w:rPr>
        <w:t>Để gia tăng tỷ lệ người tham gia BHXH</w:t>
      </w:r>
      <w:r w:rsidR="00027C38" w:rsidRPr="00305581">
        <w:rPr>
          <w:rFonts w:eastAsia="Times New Roman"/>
          <w:color w:val="auto"/>
          <w:lang w:val="vi-VN" w:eastAsia="vi-VN"/>
        </w:rPr>
        <w:t xml:space="preserve">, bên cạnh việc tăng cường thực hiện các giải pháp về quản lý (rà soát đối tượng; hướng dẫn, đôn đốc, thanh tra, kiểm tra,..) </w:t>
      </w:r>
      <w:r w:rsidR="006013B6" w:rsidRPr="00305581">
        <w:rPr>
          <w:rFonts w:eastAsia="Times New Roman"/>
          <w:color w:val="auto"/>
          <w:lang w:val="vi-VN" w:eastAsia="vi-VN"/>
        </w:rPr>
        <w:t>để gia tăng số người tham gia BHXH bắt buộc, cần đẩy mạnh</w:t>
      </w:r>
      <w:r w:rsidR="00027C38" w:rsidRPr="00305581">
        <w:rPr>
          <w:rFonts w:eastAsia="Times New Roman"/>
          <w:color w:val="auto"/>
          <w:lang w:val="vi-VN" w:eastAsia="vi-VN"/>
        </w:rPr>
        <w:t xml:space="preserve"> tuyên truyền để gia tăng số người tham gia BHXH</w:t>
      </w:r>
      <w:r w:rsidR="006013B6" w:rsidRPr="00305581">
        <w:rPr>
          <w:rFonts w:eastAsia="Times New Roman"/>
          <w:color w:val="auto"/>
          <w:lang w:val="vi-VN" w:eastAsia="vi-VN"/>
        </w:rPr>
        <w:t xml:space="preserve"> tự nguyện</w:t>
      </w:r>
      <w:r w:rsidRPr="00305581">
        <w:rPr>
          <w:rFonts w:eastAsia="Times New Roman"/>
          <w:color w:val="auto"/>
          <w:lang w:val="vi-VN" w:eastAsia="vi-VN"/>
        </w:rPr>
        <w:t xml:space="preserve">, bù đắp tỷ lệ người tham gia BHXH bắt buộc suy giảm, đảm bảo hoàn thành mục tiêu đến năm 2030 đạt 60% </w:t>
      </w:r>
      <w:r w:rsidRPr="00305581">
        <w:rPr>
          <w:color w:val="auto"/>
          <w:lang w:val="vi-VN"/>
        </w:rPr>
        <w:t>lực lượng lao động trong độ tuổi tham gia BHXH</w:t>
      </w:r>
      <w:r w:rsidRPr="00305581">
        <w:rPr>
          <w:rFonts w:eastAsia="Times New Roman"/>
          <w:color w:val="auto"/>
          <w:lang w:val="vi-VN" w:eastAsia="vi-VN"/>
        </w:rPr>
        <w:t xml:space="preserve">, </w:t>
      </w:r>
      <w:r w:rsidR="00764BA5" w:rsidRPr="00305581">
        <w:rPr>
          <w:rFonts w:eastAsia="Times New Roman"/>
          <w:color w:val="auto"/>
          <w:lang w:val="vi-VN" w:eastAsia="vi-VN"/>
        </w:rPr>
        <w:t>hướng tới mục tiêu bao phủ toàn dân, cần tập trung vào các giải pháp sau:</w:t>
      </w:r>
    </w:p>
    <w:p w:rsidR="00764BA5" w:rsidRPr="00305581" w:rsidRDefault="003D689B" w:rsidP="00DD659A">
      <w:pPr>
        <w:widowControl w:val="0"/>
        <w:spacing w:line="312" w:lineRule="auto"/>
        <w:ind w:firstLine="709"/>
        <w:jc w:val="both"/>
        <w:rPr>
          <w:rFonts w:eastAsia="Times New Roman"/>
          <w:bCs/>
          <w:color w:val="auto"/>
          <w:lang w:val="vi-VN" w:eastAsia="vi-VN"/>
        </w:rPr>
      </w:pPr>
      <w:r w:rsidRPr="00305581">
        <w:rPr>
          <w:rFonts w:eastAsia="Times New Roman"/>
          <w:bCs/>
          <w:color w:val="auto"/>
          <w:lang w:val="vi-VN" w:eastAsia="vi-VN"/>
        </w:rPr>
        <w:t xml:space="preserve">-  Đổi mới và </w:t>
      </w:r>
      <w:r w:rsidR="00EE67DC" w:rsidRPr="00305581">
        <w:rPr>
          <w:rFonts w:eastAsia="Times New Roman"/>
          <w:bCs/>
          <w:color w:val="auto"/>
          <w:lang w:val="vi-VN" w:eastAsia="vi-VN"/>
        </w:rPr>
        <w:t xml:space="preserve">đa dạng </w:t>
      </w:r>
      <w:r w:rsidRPr="00305581">
        <w:rPr>
          <w:rFonts w:eastAsia="Times New Roman"/>
          <w:bCs/>
          <w:color w:val="auto"/>
          <w:lang w:val="vi-VN" w:eastAsia="vi-VN"/>
        </w:rPr>
        <w:t>hóa công tác t</w:t>
      </w:r>
      <w:r w:rsidR="00EE67DC" w:rsidRPr="00305581">
        <w:rPr>
          <w:rFonts w:eastAsia="Times New Roman"/>
          <w:bCs/>
          <w:color w:val="auto"/>
          <w:lang w:val="vi-VN" w:eastAsia="vi-VN"/>
        </w:rPr>
        <w:t>uyên truyền, s</w:t>
      </w:r>
      <w:r w:rsidR="002614F2" w:rsidRPr="00305581">
        <w:rPr>
          <w:rFonts w:eastAsia="Times New Roman"/>
          <w:bCs/>
          <w:color w:val="auto"/>
          <w:lang w:val="vi-VN" w:eastAsia="vi-VN"/>
        </w:rPr>
        <w:t>ử dụng đội ngũ t</w:t>
      </w:r>
      <w:r w:rsidR="00764BA5" w:rsidRPr="00305581">
        <w:rPr>
          <w:rFonts w:eastAsia="Times New Roman"/>
          <w:bCs/>
          <w:color w:val="auto"/>
          <w:lang w:val="vi-VN" w:eastAsia="vi-VN"/>
        </w:rPr>
        <w:t>uyên truyền viên là người địa phương (dân tộc thiểu số, người có uy tín) để truyền đạt thông tin</w:t>
      </w:r>
      <w:r w:rsidRPr="00305581">
        <w:rPr>
          <w:rFonts w:eastAsia="Times New Roman"/>
          <w:bCs/>
          <w:color w:val="auto"/>
          <w:lang w:val="vi-VN" w:eastAsia="vi-VN"/>
        </w:rPr>
        <w:t xml:space="preserve"> dễ hiểu, </w:t>
      </w:r>
      <w:r w:rsidR="00EE67DC" w:rsidRPr="00305581">
        <w:rPr>
          <w:rFonts w:eastAsia="Times New Roman"/>
          <w:bCs/>
          <w:color w:val="auto"/>
          <w:lang w:val="vi-VN" w:eastAsia="vi-VN"/>
        </w:rPr>
        <w:t>t</w:t>
      </w:r>
      <w:r w:rsidR="00764BA5" w:rsidRPr="00305581">
        <w:rPr>
          <w:rFonts w:eastAsia="Times New Roman"/>
          <w:bCs/>
          <w:color w:val="auto"/>
          <w:lang w:val="vi-VN" w:eastAsia="vi-VN"/>
        </w:rPr>
        <w:t xml:space="preserve">ăng cường đối thoại nhóm nhỏ tại thôn, bản theo phương châm "Mưa dầm thấm lâu", tập trung vào việc </w:t>
      </w:r>
      <w:r w:rsidR="00EE67DC" w:rsidRPr="00305581">
        <w:rPr>
          <w:rFonts w:eastAsia="Times New Roman"/>
          <w:bCs/>
          <w:color w:val="auto"/>
          <w:lang w:val="vi-VN" w:eastAsia="vi-VN"/>
        </w:rPr>
        <w:t xml:space="preserve">vận động người dân duy trì tham gia và </w:t>
      </w:r>
      <w:r w:rsidR="00EE67DC" w:rsidRPr="00305581">
        <w:rPr>
          <w:rFonts w:eastAsia="Times New Roman"/>
          <w:bCs/>
          <w:color w:val="auto"/>
          <w:lang w:val="vi-VN" w:eastAsia="vi-VN"/>
        </w:rPr>
        <w:lastRenderedPageBreak/>
        <w:t xml:space="preserve">tham gia lại </w:t>
      </w:r>
      <w:r w:rsidR="00764BA5" w:rsidRPr="00305581">
        <w:rPr>
          <w:rFonts w:eastAsia="Times New Roman"/>
          <w:bCs/>
          <w:color w:val="auto"/>
          <w:lang w:val="vi-VN" w:eastAsia="vi-VN"/>
        </w:rPr>
        <w:t>đối với những người đã từng tham gia.</w:t>
      </w:r>
    </w:p>
    <w:p w:rsidR="00F415F3" w:rsidRPr="00305581" w:rsidRDefault="00F415F3" w:rsidP="00DD659A">
      <w:pPr>
        <w:widowControl w:val="0"/>
        <w:spacing w:line="312" w:lineRule="auto"/>
        <w:ind w:firstLine="709"/>
        <w:jc w:val="both"/>
        <w:rPr>
          <w:rFonts w:eastAsia="Times New Roman"/>
          <w:bCs/>
          <w:color w:val="auto"/>
          <w:lang w:val="vi-VN" w:eastAsia="vi-VN"/>
        </w:rPr>
      </w:pPr>
      <w:r w:rsidRPr="00305581">
        <w:rPr>
          <w:rFonts w:eastAsia="Times New Roman"/>
          <w:bCs/>
          <w:color w:val="auto"/>
          <w:lang w:val="vi-VN" w:eastAsia="vi-VN"/>
        </w:rPr>
        <w:t>- Thu hút đầu tư, phát triển kinh tế - xã hội để mở rộng</w:t>
      </w:r>
      <w:r w:rsidR="0057635B" w:rsidRPr="00305581">
        <w:rPr>
          <w:rFonts w:eastAsia="Times New Roman"/>
          <w:bCs/>
          <w:color w:val="auto"/>
          <w:lang w:val="vi-VN" w:eastAsia="vi-VN"/>
        </w:rPr>
        <w:t xml:space="preserve"> khả năng tạo việc làm, tăng thu thu nhập cho người lao động để gia tăng nhu cầu tham gia BHXH, đảm bảo an sinh xã hội.</w:t>
      </w:r>
    </w:p>
    <w:p w:rsidR="00DA0BEB" w:rsidRPr="00305581" w:rsidRDefault="00DA0BEB" w:rsidP="00DD659A">
      <w:pPr>
        <w:widowControl w:val="0"/>
        <w:spacing w:line="312" w:lineRule="auto"/>
        <w:ind w:firstLine="709"/>
        <w:jc w:val="both"/>
        <w:rPr>
          <w:rFonts w:eastAsia="Times New Roman"/>
          <w:bCs/>
          <w:color w:val="auto"/>
          <w:lang w:val="vi-VN" w:eastAsia="vi-VN"/>
        </w:rPr>
      </w:pPr>
      <w:r w:rsidRPr="00305581">
        <w:rPr>
          <w:rFonts w:eastAsia="Times New Roman"/>
          <w:color w:val="auto"/>
          <w:lang w:val="vi-VN" w:eastAsia="vi-VN"/>
        </w:rPr>
        <w:t xml:space="preserve">- </w:t>
      </w:r>
      <w:r w:rsidRPr="00305581">
        <w:rPr>
          <w:rFonts w:eastAsia="Times New Roman"/>
          <w:bCs/>
          <w:color w:val="auto"/>
          <w:szCs w:val="27"/>
          <w:lang w:val="vi-VN"/>
        </w:rPr>
        <w:t xml:space="preserve">Tăng cường cơ chế hỗ trợ của địa phương: </w:t>
      </w:r>
      <w:r w:rsidRPr="00305581">
        <w:rPr>
          <w:rFonts w:eastAsia="Times New Roman"/>
          <w:bCs/>
          <w:color w:val="auto"/>
          <w:lang w:val="vi-VN" w:eastAsia="vi-VN"/>
        </w:rPr>
        <w:t>Tham mưu cho Tỉnh ủy, HĐND, UBND tỉnh xem xét hỗ trợ từ ngân sách địa phương cho người tham gia BHXH tự nguyện, đặc biệt là</w:t>
      </w:r>
      <w:r w:rsidR="0093780D" w:rsidRPr="00305581">
        <w:rPr>
          <w:rFonts w:eastAsia="Times New Roman"/>
          <w:bCs/>
          <w:color w:val="auto"/>
          <w:lang w:val="vi-VN" w:eastAsia="vi-VN"/>
        </w:rPr>
        <w:t xml:space="preserve"> những người thuộc các nhóm yếu thế như</w:t>
      </w:r>
      <w:r w:rsidRPr="00305581">
        <w:rPr>
          <w:rFonts w:eastAsia="Times New Roman"/>
          <w:bCs/>
          <w:color w:val="auto"/>
          <w:lang w:val="vi-VN" w:eastAsia="vi-VN"/>
        </w:rPr>
        <w:t xml:space="preserve"> hộ nghèo, hộ cận nghèo, người dân tộc thiểu số; Phối hợp lồng ghép chính sách BHXH tự nguyện vào các chương trình an sinh xã hội, giảm nghèo của tỉnh.</w:t>
      </w:r>
    </w:p>
    <w:p w:rsidR="002C6D44" w:rsidRPr="00305581" w:rsidRDefault="003D689B" w:rsidP="00DD659A">
      <w:pPr>
        <w:widowControl w:val="0"/>
        <w:spacing w:line="312" w:lineRule="auto"/>
        <w:ind w:firstLine="709"/>
        <w:jc w:val="both"/>
        <w:rPr>
          <w:rFonts w:eastAsia="Times New Roman"/>
          <w:strike/>
          <w:color w:val="auto"/>
          <w:lang w:val="vi-VN" w:eastAsia="vi-VN"/>
        </w:rPr>
      </w:pPr>
      <w:r w:rsidRPr="00305581">
        <w:rPr>
          <w:rFonts w:eastAsia="Times New Roman"/>
          <w:color w:val="auto"/>
          <w:lang w:val="vi-VN" w:eastAsia="vi-VN"/>
        </w:rPr>
        <w:t xml:space="preserve">- </w:t>
      </w:r>
      <w:r w:rsidR="00764BA5" w:rsidRPr="00305581">
        <w:rPr>
          <w:rFonts w:eastAsia="Times New Roman"/>
          <w:color w:val="auto"/>
          <w:lang w:val="vi-VN" w:eastAsia="vi-VN"/>
        </w:rPr>
        <w:t xml:space="preserve">Cải thiện </w:t>
      </w:r>
      <w:r w:rsidR="00DA0BEB" w:rsidRPr="00305581">
        <w:rPr>
          <w:rFonts w:eastAsia="Times New Roman"/>
          <w:color w:val="auto"/>
          <w:lang w:val="vi-VN" w:eastAsia="vi-VN"/>
        </w:rPr>
        <w:t>p</w:t>
      </w:r>
      <w:r w:rsidR="00764BA5" w:rsidRPr="00305581">
        <w:rPr>
          <w:rFonts w:eastAsia="Times New Roman"/>
          <w:color w:val="auto"/>
          <w:lang w:val="vi-VN" w:eastAsia="vi-VN"/>
        </w:rPr>
        <w:t>hương th</w:t>
      </w:r>
      <w:r w:rsidR="002614F2" w:rsidRPr="00305581">
        <w:rPr>
          <w:rFonts w:eastAsia="Times New Roman"/>
          <w:color w:val="auto"/>
          <w:lang w:val="vi-VN" w:eastAsia="vi-VN"/>
        </w:rPr>
        <w:t xml:space="preserve">ức đóng và </w:t>
      </w:r>
      <w:r w:rsidR="00DA0BEB" w:rsidRPr="00305581">
        <w:rPr>
          <w:rFonts w:eastAsia="Times New Roman"/>
          <w:color w:val="auto"/>
          <w:lang w:val="vi-VN" w:eastAsia="vi-VN"/>
        </w:rPr>
        <w:t>theo hướng đơn giản hóa thủ tục hành chính, tạo điều kiện cho người dân và</w:t>
      </w:r>
      <w:r w:rsidR="00675023" w:rsidRPr="00305581">
        <w:rPr>
          <w:rFonts w:eastAsia="Times New Roman"/>
          <w:color w:val="auto"/>
          <w:lang w:val="vi-VN" w:eastAsia="vi-VN"/>
        </w:rPr>
        <w:t xml:space="preserve"> </w:t>
      </w:r>
      <w:r w:rsidR="00DA0BEB" w:rsidRPr="00305581">
        <w:rPr>
          <w:rFonts w:eastAsia="Times New Roman"/>
          <w:color w:val="auto"/>
          <w:lang w:val="vi-VN" w:eastAsia="vi-VN"/>
        </w:rPr>
        <w:t xml:space="preserve">đẩy mạnh </w:t>
      </w:r>
      <w:r w:rsidR="00675023" w:rsidRPr="00305581">
        <w:rPr>
          <w:rFonts w:eastAsia="Times New Roman"/>
          <w:color w:val="auto"/>
          <w:lang w:val="vi-VN" w:eastAsia="vi-VN"/>
        </w:rPr>
        <w:t>ứng dụng các giải phá</w:t>
      </w:r>
      <w:r w:rsidR="002C6D44" w:rsidRPr="00305581">
        <w:rPr>
          <w:rFonts w:eastAsia="Times New Roman"/>
          <w:color w:val="auto"/>
          <w:lang w:val="vi-VN" w:eastAsia="vi-VN"/>
        </w:rPr>
        <w:t>p kỹ thuật, công nghệ thông tin.</w:t>
      </w:r>
      <w:r w:rsidR="00675023" w:rsidRPr="00305581">
        <w:rPr>
          <w:rFonts w:eastAsia="Times New Roman"/>
          <w:color w:val="auto"/>
          <w:lang w:val="vi-VN" w:eastAsia="vi-VN"/>
        </w:rPr>
        <w:t xml:space="preserve"> </w:t>
      </w:r>
    </w:p>
    <w:p w:rsidR="00764BA5" w:rsidRPr="00305581" w:rsidRDefault="003D689B" w:rsidP="00DD659A">
      <w:pPr>
        <w:widowControl w:val="0"/>
        <w:spacing w:line="312" w:lineRule="auto"/>
        <w:ind w:firstLine="709"/>
        <w:jc w:val="both"/>
        <w:rPr>
          <w:rFonts w:eastAsia="Times New Roman"/>
          <w:color w:val="auto"/>
          <w:lang w:val="vi-VN" w:eastAsia="vi-VN"/>
        </w:rPr>
      </w:pPr>
      <w:r w:rsidRPr="00305581">
        <w:rPr>
          <w:rFonts w:eastAsia="Times New Roman"/>
          <w:color w:val="auto"/>
          <w:lang w:val="vi-VN" w:eastAsia="vi-VN"/>
        </w:rPr>
        <w:t xml:space="preserve">- </w:t>
      </w:r>
      <w:r w:rsidR="00764BA5" w:rsidRPr="00305581">
        <w:rPr>
          <w:rFonts w:eastAsia="Times New Roman"/>
          <w:color w:val="auto"/>
          <w:lang w:val="vi-VN" w:eastAsia="vi-VN"/>
        </w:rPr>
        <w:t>Giao chỉ tiêu</w:t>
      </w:r>
      <w:r w:rsidRPr="00305581">
        <w:rPr>
          <w:rFonts w:eastAsia="Times New Roman"/>
          <w:color w:val="auto"/>
          <w:lang w:val="vi-VN" w:eastAsia="vi-VN"/>
        </w:rPr>
        <w:t xml:space="preserve"> và kiểm tra thực hiện ở cấp xã: </w:t>
      </w:r>
      <w:r w:rsidR="00764BA5" w:rsidRPr="00305581">
        <w:rPr>
          <w:rFonts w:eastAsia="Times New Roman"/>
          <w:color w:val="auto"/>
          <w:lang w:val="vi-VN" w:eastAsia="vi-VN"/>
        </w:rPr>
        <w:t xml:space="preserve">Giao chỉ tiêu cụ thể cho mỗi xã về số lượng phát triển người tham gia mới BHXH tự nguyện, kèm </w:t>
      </w:r>
      <w:r w:rsidRPr="00305581">
        <w:rPr>
          <w:rFonts w:eastAsia="Times New Roman"/>
          <w:color w:val="auto"/>
          <w:lang w:val="vi-VN" w:eastAsia="vi-VN"/>
        </w:rPr>
        <w:t>biểu dương, khen thưởng, công khai kết quả hàng quý, hàng năm để tạo áp lực và động lực trong quá trình triển khai thực hiện.</w:t>
      </w:r>
    </w:p>
    <w:p w:rsidR="005C4F6C" w:rsidRPr="00305581" w:rsidRDefault="00C31F08" w:rsidP="00DD659A">
      <w:pPr>
        <w:spacing w:line="312" w:lineRule="auto"/>
        <w:ind w:firstLine="720"/>
        <w:jc w:val="both"/>
        <w:rPr>
          <w:b/>
          <w:color w:val="auto"/>
          <w:lang w:val="vi-VN"/>
        </w:rPr>
      </w:pPr>
      <w:r w:rsidRPr="00305581">
        <w:rPr>
          <w:b/>
          <w:color w:val="auto"/>
          <w:lang w:val="vi-VN"/>
        </w:rPr>
        <w:t>III. ĐỀ XUẤT, KIẾN NGHỊ</w:t>
      </w:r>
      <w:r w:rsidRPr="00305581">
        <w:rPr>
          <w:color w:val="auto"/>
          <w:lang w:val="vi-VN"/>
        </w:rPr>
        <w:t xml:space="preserve"> </w:t>
      </w:r>
    </w:p>
    <w:p w:rsidR="001249B1" w:rsidRPr="00305581" w:rsidRDefault="00FA5B47" w:rsidP="00DD659A">
      <w:pPr>
        <w:widowControl w:val="0"/>
        <w:spacing w:line="312" w:lineRule="auto"/>
        <w:ind w:firstLine="709"/>
        <w:jc w:val="both"/>
        <w:rPr>
          <w:rFonts w:eastAsia="Times New Roman"/>
          <w:color w:val="auto"/>
          <w:lang w:val="vi-VN" w:eastAsia="vi-VN"/>
        </w:rPr>
      </w:pPr>
      <w:r w:rsidRPr="00305581">
        <w:rPr>
          <w:rFonts w:eastAsia="Times New Roman"/>
          <w:color w:val="auto"/>
          <w:lang w:val="vi-VN" w:eastAsia="vi-VN"/>
        </w:rPr>
        <w:t>Để thực hiện hiệu quả các giải pháp phát triển BHXH tự nguyện như tuyên truyền, phát triển đại lý thu ở cơ sở, cải thiện quy trình tham gia</w:t>
      </w:r>
      <w:r w:rsidR="0093780D" w:rsidRPr="00305581">
        <w:rPr>
          <w:rFonts w:eastAsia="Times New Roman"/>
          <w:color w:val="auto"/>
          <w:lang w:val="vi-VN" w:eastAsia="vi-VN"/>
        </w:rPr>
        <w:t xml:space="preserve"> </w:t>
      </w:r>
      <w:r w:rsidRPr="00305581">
        <w:rPr>
          <w:rFonts w:eastAsia="Times New Roman"/>
          <w:color w:val="auto"/>
          <w:lang w:val="vi-VN" w:eastAsia="vi-VN"/>
        </w:rPr>
        <w:t>...</w:t>
      </w:r>
      <w:r w:rsidR="006013B6" w:rsidRPr="00305581">
        <w:rPr>
          <w:rFonts w:eastAsia="Times New Roman"/>
          <w:color w:val="auto"/>
          <w:lang w:val="vi-VN" w:eastAsia="vi-VN"/>
        </w:rPr>
        <w:t xml:space="preserve"> </w:t>
      </w:r>
      <w:r w:rsidRPr="00305581">
        <w:rPr>
          <w:rFonts w:eastAsia="Times New Roman"/>
          <w:color w:val="auto"/>
          <w:lang w:val="vi-VN" w:eastAsia="vi-VN"/>
        </w:rPr>
        <w:t xml:space="preserve">trước tiên </w:t>
      </w:r>
      <w:r w:rsidR="00F11C20" w:rsidRPr="00305581">
        <w:rPr>
          <w:rFonts w:eastAsia="Times New Roman"/>
          <w:color w:val="auto"/>
          <w:lang w:val="vi-VN" w:eastAsia="vi-VN"/>
        </w:rPr>
        <w:t>để</w:t>
      </w:r>
      <w:r w:rsidRPr="00305581">
        <w:rPr>
          <w:rFonts w:eastAsia="Times New Roman"/>
          <w:color w:val="auto"/>
          <w:lang w:val="vi-VN" w:eastAsia="vi-VN"/>
        </w:rPr>
        <w:t xml:space="preserve"> gia tăng tỷ lệ người tham gia BHXH tự nguyện, c</w:t>
      </w:r>
      <w:r w:rsidR="006013B6" w:rsidRPr="00305581">
        <w:rPr>
          <w:rFonts w:eastAsia="Times New Roman"/>
          <w:color w:val="auto"/>
          <w:lang w:val="vi-VN" w:eastAsia="vi-VN"/>
        </w:rPr>
        <w:t>ầ</w:t>
      </w:r>
      <w:r w:rsidRPr="00305581">
        <w:rPr>
          <w:rFonts w:eastAsia="Times New Roman"/>
          <w:color w:val="auto"/>
          <w:lang w:val="vi-VN" w:eastAsia="vi-VN"/>
        </w:rPr>
        <w:t xml:space="preserve">n thiết </w:t>
      </w:r>
      <w:r w:rsidRPr="00305581">
        <w:rPr>
          <w:rFonts w:eastAsia="Times New Roman"/>
          <w:color w:val="auto"/>
          <w:lang w:val="vi-VN"/>
        </w:rPr>
        <w:t>phải có chính sách hỗ trợ tiền đóng BHXH tự nguyện cho các đối tượng khác nhau, từ nhóm yếu thế trong xã hội như người thuộc hộ nghèo, hộ cận nghèo</w:t>
      </w:r>
      <w:r w:rsidR="0093780D" w:rsidRPr="00305581">
        <w:rPr>
          <w:rFonts w:eastAsia="Times New Roman"/>
          <w:color w:val="auto"/>
          <w:lang w:val="vi-VN"/>
        </w:rPr>
        <w:t xml:space="preserve">, </w:t>
      </w:r>
      <w:r w:rsidR="0093780D" w:rsidRPr="00305581">
        <w:rPr>
          <w:rFonts w:eastAsia="Times New Roman"/>
          <w:bCs/>
          <w:color w:val="auto"/>
          <w:lang w:val="vi-VN" w:eastAsia="vi-VN"/>
        </w:rPr>
        <w:t>người dân tộc thiểu số</w:t>
      </w:r>
      <w:r w:rsidRPr="00305581">
        <w:rPr>
          <w:rFonts w:eastAsia="Times New Roman"/>
          <w:color w:val="auto"/>
          <w:lang w:val="vi-VN"/>
        </w:rPr>
        <w:t xml:space="preserve"> để tạo điều kiện được tiếp cận, thu hút mọi tầng lớp nhân dân, đa dạng hóa đối tượng tham gia </w:t>
      </w:r>
      <w:r w:rsidRPr="00305581">
        <w:rPr>
          <w:rFonts w:eastAsia="Times New Roman"/>
          <w:color w:val="auto"/>
          <w:lang w:val="vi-VN" w:eastAsia="vi-VN"/>
        </w:rPr>
        <w:t>BHXH</w:t>
      </w:r>
      <w:r w:rsidRPr="00305581">
        <w:rPr>
          <w:rFonts w:eastAsia="Times New Roman"/>
          <w:color w:val="auto"/>
          <w:lang w:val="vi-VN"/>
        </w:rPr>
        <w:t>, đảm bảo hoàn thành mục tiêu phát triển BHXH và an sinh xã hội bền vững.</w:t>
      </w:r>
    </w:p>
    <w:p w:rsidR="00C31F08" w:rsidRPr="00305581" w:rsidRDefault="00FA5B47" w:rsidP="00DD659A">
      <w:pPr>
        <w:widowControl w:val="0"/>
        <w:spacing w:line="312" w:lineRule="auto"/>
        <w:ind w:firstLine="709"/>
        <w:jc w:val="both"/>
        <w:rPr>
          <w:rFonts w:eastAsia="Times New Roman"/>
          <w:color w:val="auto"/>
          <w:shd w:val="clear" w:color="auto" w:fill="FFFFFF"/>
          <w:lang w:val="vi-VN" w:eastAsia="vi-VN"/>
        </w:rPr>
      </w:pPr>
      <w:r w:rsidRPr="00305581">
        <w:rPr>
          <w:rFonts w:eastAsia="Times New Roman"/>
          <w:color w:val="auto"/>
          <w:shd w:val="clear" w:color="auto" w:fill="FFFFFF"/>
          <w:lang w:val="vi-VN" w:eastAsia="vi-VN"/>
        </w:rPr>
        <w:t xml:space="preserve">Vì vậy, </w:t>
      </w:r>
      <w:r w:rsidR="00C31F08" w:rsidRPr="00305581">
        <w:rPr>
          <w:rFonts w:eastAsia="Times New Roman"/>
          <w:color w:val="auto"/>
          <w:shd w:val="clear" w:color="auto" w:fill="FFFFFF"/>
          <w:lang w:val="vi-VN" w:eastAsia="vi-VN"/>
        </w:rPr>
        <w:t xml:space="preserve">Sở Nội vụ đề xuất UBND tỉnh xem xét trình HĐND tỉnh ban hành </w:t>
      </w:r>
      <w:r w:rsidR="005C4F6C" w:rsidRPr="00305581">
        <w:rPr>
          <w:color w:val="auto"/>
          <w:lang w:val="vi-VN"/>
        </w:rPr>
        <w:t xml:space="preserve">Nghị quyết của </w:t>
      </w:r>
      <w:r w:rsidR="0008774C" w:rsidRPr="00305581">
        <w:rPr>
          <w:color w:val="auto"/>
          <w:lang w:val="vi-VN"/>
        </w:rPr>
        <w:t>HĐND</w:t>
      </w:r>
      <w:r w:rsidR="005C4F6C" w:rsidRPr="00305581">
        <w:rPr>
          <w:color w:val="auto"/>
          <w:lang w:val="vi-VN"/>
        </w:rPr>
        <w:t xml:space="preserve"> tỉnh </w:t>
      </w:r>
      <w:r w:rsidR="0008774C" w:rsidRPr="00305581">
        <w:rPr>
          <w:color w:val="auto"/>
          <w:lang w:val="vi-VN"/>
        </w:rPr>
        <w:t xml:space="preserve">quy định mức hỗ trợ tiền đóng </w:t>
      </w:r>
      <w:r w:rsidR="006558AC" w:rsidRPr="00305581">
        <w:rPr>
          <w:color w:val="auto"/>
          <w:lang w:val="vi-VN"/>
        </w:rPr>
        <w:t>BHXH</w:t>
      </w:r>
      <w:r w:rsidR="00F1600E" w:rsidRPr="00305581">
        <w:rPr>
          <w:color w:val="auto"/>
          <w:lang w:val="vi-VN"/>
        </w:rPr>
        <w:t xml:space="preserve"> </w:t>
      </w:r>
      <w:r w:rsidR="00B67EA7" w:rsidRPr="00305581">
        <w:rPr>
          <w:color w:val="auto"/>
          <w:lang w:val="vi-VN"/>
        </w:rPr>
        <w:t>cho</w:t>
      </w:r>
      <w:r w:rsidR="0008774C" w:rsidRPr="00305581">
        <w:rPr>
          <w:color w:val="auto"/>
          <w:lang w:val="vi-VN"/>
        </w:rPr>
        <w:t xml:space="preserve"> người tham gia </w:t>
      </w:r>
      <w:r w:rsidR="006558AC" w:rsidRPr="00305581">
        <w:rPr>
          <w:color w:val="auto"/>
          <w:lang w:val="vi-VN"/>
        </w:rPr>
        <w:t>BHXH</w:t>
      </w:r>
      <w:r w:rsidR="0008774C" w:rsidRPr="00305581">
        <w:rPr>
          <w:color w:val="auto"/>
          <w:lang w:val="vi-VN"/>
        </w:rPr>
        <w:t xml:space="preserve"> tự nguyện</w:t>
      </w:r>
      <w:r w:rsidR="00090167" w:rsidRPr="00305581">
        <w:rPr>
          <w:color w:val="auto"/>
          <w:lang w:val="vi-VN"/>
        </w:rPr>
        <w:t xml:space="preserve"> trên địa bàn tỉnh, nội dung cụ thể như sau:</w:t>
      </w:r>
    </w:p>
    <w:p w:rsidR="00016CC9" w:rsidRPr="00305581" w:rsidRDefault="00537B1F" w:rsidP="00DD659A">
      <w:pPr>
        <w:autoSpaceDE w:val="0"/>
        <w:autoSpaceDN w:val="0"/>
        <w:adjustRightInd w:val="0"/>
        <w:spacing w:line="312" w:lineRule="auto"/>
        <w:ind w:firstLine="720"/>
        <w:jc w:val="both"/>
        <w:rPr>
          <w:b/>
          <w:color w:val="auto"/>
          <w:lang w:val="vi-VN"/>
        </w:rPr>
      </w:pPr>
      <w:r w:rsidRPr="00305581">
        <w:rPr>
          <w:b/>
          <w:color w:val="auto"/>
          <w:lang w:val="vi-VN"/>
        </w:rPr>
        <w:t>1.</w:t>
      </w:r>
      <w:r w:rsidR="00EB4B2A" w:rsidRPr="00305581">
        <w:rPr>
          <w:b/>
          <w:color w:val="auto"/>
          <w:lang w:val="vi-VN"/>
        </w:rPr>
        <w:t xml:space="preserve"> </w:t>
      </w:r>
      <w:r w:rsidR="00016CC9" w:rsidRPr="00305581">
        <w:rPr>
          <w:b/>
          <w:color w:val="auto"/>
          <w:lang w:val="vi-VN"/>
        </w:rPr>
        <w:t>Về đối tượng</w:t>
      </w:r>
      <w:r w:rsidR="004D52B3" w:rsidRPr="00305581">
        <w:rPr>
          <w:b/>
          <w:color w:val="auto"/>
          <w:lang w:val="vi-VN"/>
        </w:rPr>
        <w:t xml:space="preserve"> và mức hỗ trợ</w:t>
      </w:r>
    </w:p>
    <w:p w:rsidR="00016CC9" w:rsidRPr="00305581" w:rsidRDefault="006C3C46" w:rsidP="00DD659A">
      <w:pPr>
        <w:autoSpaceDE w:val="0"/>
        <w:autoSpaceDN w:val="0"/>
        <w:adjustRightInd w:val="0"/>
        <w:spacing w:line="312" w:lineRule="auto"/>
        <w:ind w:firstLine="720"/>
        <w:jc w:val="both"/>
        <w:rPr>
          <w:color w:val="auto"/>
          <w:lang w:val="vi-VN"/>
        </w:rPr>
      </w:pPr>
      <w:r w:rsidRPr="00305581">
        <w:rPr>
          <w:color w:val="auto"/>
          <w:lang w:val="vi-VN"/>
        </w:rPr>
        <w:t>Ngoài mức hỗ trợ theo quy định tại Nghị định số 159/2025/NĐ-CP ngày 25/6/2025 của Chính phủ</w:t>
      </w:r>
      <w:r w:rsidR="004D52B3" w:rsidRPr="00305581">
        <w:rPr>
          <w:color w:val="auto"/>
          <w:lang w:val="vi-VN"/>
        </w:rPr>
        <w:t xml:space="preserve">, người tham gia </w:t>
      </w:r>
      <w:r w:rsidR="006558AC" w:rsidRPr="00305581">
        <w:rPr>
          <w:color w:val="auto"/>
          <w:lang w:val="vi-VN"/>
        </w:rPr>
        <w:t xml:space="preserve">BHXH </w:t>
      </w:r>
      <w:r w:rsidR="004D52B3" w:rsidRPr="00305581">
        <w:rPr>
          <w:color w:val="auto"/>
          <w:lang w:val="vi-VN"/>
        </w:rPr>
        <w:t xml:space="preserve">tự nguyện trên địa bàn tỉnh được ngân sách </w:t>
      </w:r>
      <w:r w:rsidR="006558AC" w:rsidRPr="00305581">
        <w:rPr>
          <w:color w:val="auto"/>
          <w:lang w:val="vi-VN"/>
        </w:rPr>
        <w:t>địa phương</w:t>
      </w:r>
      <w:r w:rsidR="004D52B3" w:rsidRPr="00305581">
        <w:rPr>
          <w:color w:val="auto"/>
          <w:lang w:val="vi-VN"/>
        </w:rPr>
        <w:t xml:space="preserve"> hỗ trợ tiền đóng theo tỷ lệ phần trăm (%) trên mức đóng </w:t>
      </w:r>
      <w:r w:rsidR="006558AC" w:rsidRPr="00305581">
        <w:rPr>
          <w:color w:val="auto"/>
          <w:lang w:val="vi-VN"/>
        </w:rPr>
        <w:lastRenderedPageBreak/>
        <w:t xml:space="preserve">BHXH </w:t>
      </w:r>
      <w:r w:rsidR="004D52B3" w:rsidRPr="00305581">
        <w:rPr>
          <w:color w:val="auto"/>
          <w:lang w:val="vi-VN"/>
        </w:rPr>
        <w:t>tự nguyện hằng tháng theo mức chuẩn hộ nghèo của khu vực nông thôn trong từng thời kỳ do Chính phủ quy định</w:t>
      </w:r>
      <w:r w:rsidR="00B02132" w:rsidRPr="00305581">
        <w:rPr>
          <w:rStyle w:val="Thamchiuccch"/>
          <w:color w:val="auto"/>
        </w:rPr>
        <w:footnoteReference w:id="9"/>
      </w:r>
      <w:r w:rsidR="004D52B3" w:rsidRPr="00305581">
        <w:rPr>
          <w:color w:val="auto"/>
          <w:lang w:val="vi-VN"/>
        </w:rPr>
        <w:t xml:space="preserve"> như sau:</w:t>
      </w:r>
    </w:p>
    <w:p w:rsidR="00BA2123" w:rsidRPr="00305581" w:rsidRDefault="007F5AD4" w:rsidP="00DD659A">
      <w:pPr>
        <w:autoSpaceDE w:val="0"/>
        <w:autoSpaceDN w:val="0"/>
        <w:adjustRightInd w:val="0"/>
        <w:spacing w:line="312" w:lineRule="auto"/>
        <w:ind w:firstLine="720"/>
        <w:jc w:val="both"/>
        <w:rPr>
          <w:color w:val="auto"/>
          <w:lang w:val="vi-VN"/>
        </w:rPr>
      </w:pPr>
      <w:r w:rsidRPr="00305581">
        <w:rPr>
          <w:color w:val="auto"/>
          <w:lang w:val="vi-VN"/>
        </w:rPr>
        <w:t xml:space="preserve">- </w:t>
      </w:r>
      <w:r w:rsidR="006013B6" w:rsidRPr="00305581">
        <w:rPr>
          <w:color w:val="auto"/>
          <w:lang w:val="vi-VN"/>
        </w:rPr>
        <w:t>Tỷ lệ hỗ trợ</w:t>
      </w:r>
      <w:r w:rsidR="00BA2123" w:rsidRPr="00305581">
        <w:rPr>
          <w:color w:val="auto"/>
          <w:lang w:val="vi-VN"/>
        </w:rPr>
        <w:t>, số tiền hỗ trợ</w:t>
      </w:r>
      <w:r w:rsidR="00A256E8" w:rsidRPr="00305581">
        <w:rPr>
          <w:color w:val="auto"/>
          <w:lang w:val="vi-VN"/>
        </w:rPr>
        <w:t xml:space="preserve"> như sau:</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6"/>
        <w:gridCol w:w="2221"/>
        <w:gridCol w:w="2218"/>
        <w:gridCol w:w="2354"/>
      </w:tblGrid>
      <w:tr w:rsidR="00305581" w:rsidRPr="00EC770B" w:rsidTr="0041518D">
        <w:trPr>
          <w:trHeight w:val="994"/>
          <w:jc w:val="center"/>
        </w:trPr>
        <w:tc>
          <w:tcPr>
            <w:tcW w:w="2260" w:type="dxa"/>
            <w:shd w:val="clear" w:color="auto" w:fill="auto"/>
          </w:tcPr>
          <w:p w:rsidR="0093780D" w:rsidRPr="00DD659A" w:rsidRDefault="0093780D" w:rsidP="00FC4301">
            <w:pPr>
              <w:autoSpaceDE w:val="0"/>
              <w:autoSpaceDN w:val="0"/>
              <w:adjustRightInd w:val="0"/>
              <w:spacing w:after="120" w:line="320" w:lineRule="atLeast"/>
              <w:jc w:val="both"/>
              <w:rPr>
                <w:b/>
                <w:color w:val="auto"/>
                <w:lang w:val="vi-VN"/>
              </w:rPr>
            </w:pPr>
            <w:r w:rsidRPr="00DD659A">
              <w:rPr>
                <w:b/>
                <w:color w:val="auto"/>
                <w:lang w:val="vi-VN"/>
              </w:rPr>
              <w:tab/>
            </w:r>
          </w:p>
        </w:tc>
        <w:tc>
          <w:tcPr>
            <w:tcW w:w="2271" w:type="dxa"/>
            <w:shd w:val="clear" w:color="auto" w:fill="auto"/>
          </w:tcPr>
          <w:p w:rsidR="0093780D" w:rsidRPr="00DD659A" w:rsidRDefault="0093780D" w:rsidP="00FC4301">
            <w:pPr>
              <w:autoSpaceDE w:val="0"/>
              <w:autoSpaceDN w:val="0"/>
              <w:adjustRightInd w:val="0"/>
              <w:spacing w:after="120" w:line="320" w:lineRule="atLeast"/>
              <w:jc w:val="center"/>
              <w:rPr>
                <w:b/>
                <w:color w:val="auto"/>
                <w:lang w:val="vi-VN"/>
              </w:rPr>
            </w:pPr>
            <w:r w:rsidRPr="00DD659A">
              <w:rPr>
                <w:b/>
                <w:color w:val="auto"/>
                <w:lang w:val="vi-VN"/>
              </w:rPr>
              <w:t>Người tham gia thuộc hộ nghèo</w:t>
            </w:r>
          </w:p>
        </w:tc>
        <w:tc>
          <w:tcPr>
            <w:tcW w:w="2268" w:type="dxa"/>
            <w:shd w:val="clear" w:color="auto" w:fill="auto"/>
          </w:tcPr>
          <w:p w:rsidR="0093780D" w:rsidRPr="00DD659A" w:rsidRDefault="0093780D" w:rsidP="00FC4301">
            <w:pPr>
              <w:autoSpaceDE w:val="0"/>
              <w:autoSpaceDN w:val="0"/>
              <w:adjustRightInd w:val="0"/>
              <w:spacing w:after="120" w:line="320" w:lineRule="atLeast"/>
              <w:jc w:val="center"/>
              <w:rPr>
                <w:b/>
                <w:color w:val="auto"/>
                <w:lang w:val="vi-VN"/>
              </w:rPr>
            </w:pPr>
            <w:r w:rsidRPr="00DD659A">
              <w:rPr>
                <w:b/>
                <w:color w:val="auto"/>
                <w:lang w:val="vi-VN"/>
              </w:rPr>
              <w:t>Người tham gia thuộc hộ cận nghèo</w:t>
            </w:r>
          </w:p>
        </w:tc>
        <w:tc>
          <w:tcPr>
            <w:tcW w:w="2410" w:type="dxa"/>
            <w:shd w:val="clear" w:color="auto" w:fill="auto"/>
          </w:tcPr>
          <w:p w:rsidR="0093780D" w:rsidRPr="00DD659A" w:rsidRDefault="0093780D" w:rsidP="00FC4301">
            <w:pPr>
              <w:autoSpaceDE w:val="0"/>
              <w:autoSpaceDN w:val="0"/>
              <w:adjustRightInd w:val="0"/>
              <w:spacing w:after="120" w:line="320" w:lineRule="atLeast"/>
              <w:jc w:val="center"/>
              <w:rPr>
                <w:b/>
                <w:color w:val="auto"/>
                <w:lang w:val="vi-VN"/>
              </w:rPr>
            </w:pPr>
            <w:r w:rsidRPr="00DD659A">
              <w:rPr>
                <w:b/>
                <w:color w:val="auto"/>
                <w:lang w:val="vi-VN"/>
              </w:rPr>
              <w:t xml:space="preserve">Người tham là người dân tộc thiểu số </w:t>
            </w:r>
          </w:p>
        </w:tc>
      </w:tr>
      <w:tr w:rsidR="00305581" w:rsidRPr="00DD659A" w:rsidTr="00DD659A">
        <w:trPr>
          <w:trHeight w:val="815"/>
          <w:jc w:val="center"/>
        </w:trPr>
        <w:tc>
          <w:tcPr>
            <w:tcW w:w="2260"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lang w:val="vi-VN"/>
              </w:rPr>
            </w:pPr>
            <w:r w:rsidRPr="00DD659A">
              <w:rPr>
                <w:b/>
                <w:color w:val="auto"/>
                <w:lang w:val="vi-VN"/>
              </w:rPr>
              <w:t>Ngân sách địa phương hỗ trợ</w:t>
            </w:r>
          </w:p>
        </w:tc>
        <w:tc>
          <w:tcPr>
            <w:tcW w:w="2271"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lang w:val="vi-VN"/>
              </w:rPr>
            </w:pPr>
            <w:r w:rsidRPr="00DD659A">
              <w:rPr>
                <w:b/>
                <w:color w:val="auto"/>
                <w:lang w:val="vi-VN"/>
              </w:rPr>
              <w:t>20%</w:t>
            </w:r>
          </w:p>
        </w:tc>
        <w:tc>
          <w:tcPr>
            <w:tcW w:w="2268"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lang w:val="vi-VN"/>
              </w:rPr>
            </w:pPr>
            <w:r w:rsidRPr="00DD659A">
              <w:rPr>
                <w:b/>
                <w:color w:val="auto"/>
              </w:rPr>
              <w:t>20</w:t>
            </w:r>
            <w:r w:rsidRPr="00DD659A">
              <w:rPr>
                <w:b/>
                <w:color w:val="auto"/>
                <w:lang w:val="vi-VN"/>
              </w:rPr>
              <w:t>%</w:t>
            </w:r>
          </w:p>
        </w:tc>
        <w:tc>
          <w:tcPr>
            <w:tcW w:w="2410"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lang w:val="vi-VN"/>
              </w:rPr>
            </w:pPr>
            <w:r w:rsidRPr="00DD659A">
              <w:rPr>
                <w:b/>
                <w:color w:val="auto"/>
              </w:rPr>
              <w:t>20</w:t>
            </w:r>
            <w:r w:rsidRPr="00DD659A">
              <w:rPr>
                <w:b/>
                <w:color w:val="auto"/>
                <w:lang w:val="vi-VN"/>
              </w:rPr>
              <w:t>%</w:t>
            </w:r>
          </w:p>
        </w:tc>
      </w:tr>
      <w:tr w:rsidR="00305581" w:rsidRPr="00DD659A" w:rsidTr="00DD659A">
        <w:trPr>
          <w:trHeight w:val="815"/>
          <w:jc w:val="center"/>
        </w:trPr>
        <w:tc>
          <w:tcPr>
            <w:tcW w:w="2260"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lang w:val="vi-VN"/>
              </w:rPr>
            </w:pPr>
            <w:r w:rsidRPr="00DD659A">
              <w:rPr>
                <w:i/>
                <w:color w:val="auto"/>
                <w:lang w:val="vi-VN"/>
              </w:rPr>
              <w:t>Tương ứng số tiền hỗ trợ (đồng)</w:t>
            </w:r>
          </w:p>
        </w:tc>
        <w:tc>
          <w:tcPr>
            <w:tcW w:w="2271"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rPr>
            </w:pPr>
            <w:r w:rsidRPr="00DD659A">
              <w:rPr>
                <w:i/>
                <w:color w:val="auto"/>
              </w:rPr>
              <w:t>66.000</w:t>
            </w:r>
          </w:p>
        </w:tc>
        <w:tc>
          <w:tcPr>
            <w:tcW w:w="2268" w:type="dxa"/>
            <w:shd w:val="clear" w:color="auto" w:fill="auto"/>
            <w:vAlign w:val="center"/>
          </w:tcPr>
          <w:p w:rsidR="0093780D" w:rsidRPr="00DD659A" w:rsidRDefault="0093780D" w:rsidP="00DD659A">
            <w:pPr>
              <w:autoSpaceDE w:val="0"/>
              <w:autoSpaceDN w:val="0"/>
              <w:adjustRightInd w:val="0"/>
              <w:spacing w:after="120" w:line="320" w:lineRule="atLeast"/>
              <w:jc w:val="center"/>
              <w:rPr>
                <w:color w:val="auto"/>
              </w:rPr>
            </w:pPr>
            <w:r w:rsidRPr="00DD659A">
              <w:rPr>
                <w:i/>
                <w:color w:val="auto"/>
              </w:rPr>
              <w:t>66.000</w:t>
            </w:r>
          </w:p>
        </w:tc>
        <w:tc>
          <w:tcPr>
            <w:tcW w:w="2410" w:type="dxa"/>
            <w:shd w:val="clear" w:color="auto" w:fill="auto"/>
            <w:vAlign w:val="center"/>
          </w:tcPr>
          <w:p w:rsidR="0093780D" w:rsidRPr="00DD659A" w:rsidRDefault="0093780D" w:rsidP="00DD659A">
            <w:pPr>
              <w:autoSpaceDE w:val="0"/>
              <w:autoSpaceDN w:val="0"/>
              <w:adjustRightInd w:val="0"/>
              <w:spacing w:after="120" w:line="320" w:lineRule="atLeast"/>
              <w:jc w:val="center"/>
              <w:rPr>
                <w:color w:val="auto"/>
                <w:lang w:val="vi-VN"/>
              </w:rPr>
            </w:pPr>
            <w:r w:rsidRPr="00DD659A">
              <w:rPr>
                <w:i/>
                <w:color w:val="auto"/>
              </w:rPr>
              <w:t>66.000</w:t>
            </w:r>
          </w:p>
        </w:tc>
      </w:tr>
      <w:tr w:rsidR="00305581" w:rsidRPr="00DD659A" w:rsidTr="00DD659A">
        <w:trPr>
          <w:trHeight w:val="815"/>
          <w:jc w:val="center"/>
        </w:trPr>
        <w:tc>
          <w:tcPr>
            <w:tcW w:w="2260"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lang w:val="vi-VN"/>
              </w:rPr>
            </w:pPr>
            <w:r w:rsidRPr="00DD659A">
              <w:rPr>
                <w:b/>
                <w:color w:val="auto"/>
                <w:lang w:val="vi-VN"/>
              </w:rPr>
              <w:t>Ngân sách Trung ương hỗ trợ</w:t>
            </w:r>
          </w:p>
        </w:tc>
        <w:tc>
          <w:tcPr>
            <w:tcW w:w="2271"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lang w:val="vi-VN"/>
              </w:rPr>
            </w:pPr>
            <w:r w:rsidRPr="00DD659A">
              <w:rPr>
                <w:b/>
                <w:color w:val="auto"/>
              </w:rPr>
              <w:t>5</w:t>
            </w:r>
            <w:r w:rsidRPr="00DD659A">
              <w:rPr>
                <w:b/>
                <w:color w:val="auto"/>
                <w:lang w:val="vi-VN"/>
              </w:rPr>
              <w:t>0%</w:t>
            </w:r>
          </w:p>
        </w:tc>
        <w:tc>
          <w:tcPr>
            <w:tcW w:w="2268"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lang w:val="vi-VN"/>
              </w:rPr>
            </w:pPr>
            <w:r w:rsidRPr="00DD659A">
              <w:rPr>
                <w:b/>
                <w:color w:val="auto"/>
              </w:rPr>
              <w:t>40</w:t>
            </w:r>
            <w:r w:rsidRPr="00DD659A">
              <w:rPr>
                <w:b/>
                <w:color w:val="auto"/>
                <w:lang w:val="vi-VN"/>
              </w:rPr>
              <w:t>%</w:t>
            </w:r>
          </w:p>
        </w:tc>
        <w:tc>
          <w:tcPr>
            <w:tcW w:w="2410"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lang w:val="vi-VN"/>
              </w:rPr>
            </w:pPr>
            <w:r w:rsidRPr="00DD659A">
              <w:rPr>
                <w:b/>
                <w:color w:val="auto"/>
                <w:lang w:val="vi-VN"/>
              </w:rPr>
              <w:t>30%</w:t>
            </w:r>
          </w:p>
        </w:tc>
      </w:tr>
      <w:tr w:rsidR="00305581" w:rsidRPr="00DD659A" w:rsidTr="00DD659A">
        <w:trPr>
          <w:trHeight w:val="815"/>
          <w:jc w:val="center"/>
        </w:trPr>
        <w:tc>
          <w:tcPr>
            <w:tcW w:w="2260"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lang w:val="vi-VN"/>
              </w:rPr>
            </w:pPr>
            <w:r w:rsidRPr="00DD659A">
              <w:rPr>
                <w:i/>
                <w:color w:val="auto"/>
                <w:lang w:val="vi-VN"/>
              </w:rPr>
              <w:t>Tương ứng số tiền hỗ trợ (đồng)</w:t>
            </w:r>
          </w:p>
        </w:tc>
        <w:tc>
          <w:tcPr>
            <w:tcW w:w="2271"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rPr>
            </w:pPr>
            <w:r w:rsidRPr="00DD659A">
              <w:rPr>
                <w:i/>
                <w:color w:val="auto"/>
              </w:rPr>
              <w:t>165.000</w:t>
            </w:r>
          </w:p>
        </w:tc>
        <w:tc>
          <w:tcPr>
            <w:tcW w:w="2268"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rPr>
            </w:pPr>
            <w:r w:rsidRPr="00DD659A">
              <w:rPr>
                <w:i/>
                <w:color w:val="auto"/>
              </w:rPr>
              <w:t>132.000</w:t>
            </w:r>
          </w:p>
        </w:tc>
        <w:tc>
          <w:tcPr>
            <w:tcW w:w="2410"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rPr>
            </w:pPr>
            <w:r w:rsidRPr="00DD659A">
              <w:rPr>
                <w:i/>
                <w:color w:val="auto"/>
                <w:lang w:val="vi-VN"/>
              </w:rPr>
              <w:t>99</w:t>
            </w:r>
            <w:r w:rsidRPr="00DD659A">
              <w:rPr>
                <w:i/>
                <w:color w:val="auto"/>
              </w:rPr>
              <w:t>.000</w:t>
            </w:r>
          </w:p>
        </w:tc>
      </w:tr>
      <w:tr w:rsidR="00305581" w:rsidRPr="00DD659A" w:rsidTr="00DD659A">
        <w:trPr>
          <w:trHeight w:val="815"/>
          <w:jc w:val="center"/>
        </w:trPr>
        <w:tc>
          <w:tcPr>
            <w:tcW w:w="2260"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lang w:val="vi-VN"/>
              </w:rPr>
            </w:pPr>
            <w:r w:rsidRPr="00DD659A">
              <w:rPr>
                <w:b/>
                <w:color w:val="auto"/>
                <w:lang w:val="vi-VN"/>
              </w:rPr>
              <w:t>Tổng tỷ lệ % được  hỗ trợ</w:t>
            </w:r>
          </w:p>
        </w:tc>
        <w:tc>
          <w:tcPr>
            <w:tcW w:w="2271"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rPr>
            </w:pPr>
            <w:r w:rsidRPr="00DD659A">
              <w:rPr>
                <w:b/>
                <w:color w:val="auto"/>
              </w:rPr>
              <w:t>70%</w:t>
            </w:r>
          </w:p>
        </w:tc>
        <w:tc>
          <w:tcPr>
            <w:tcW w:w="2268"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rPr>
            </w:pPr>
            <w:r w:rsidRPr="00DD659A">
              <w:rPr>
                <w:b/>
                <w:color w:val="auto"/>
              </w:rPr>
              <w:t>60%</w:t>
            </w:r>
          </w:p>
        </w:tc>
        <w:tc>
          <w:tcPr>
            <w:tcW w:w="2410"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rPr>
            </w:pPr>
            <w:r w:rsidRPr="00DD659A">
              <w:rPr>
                <w:b/>
                <w:color w:val="auto"/>
              </w:rPr>
              <w:t>50%</w:t>
            </w:r>
          </w:p>
        </w:tc>
      </w:tr>
      <w:tr w:rsidR="00305581" w:rsidRPr="00DD659A" w:rsidTr="00DD659A">
        <w:trPr>
          <w:trHeight w:val="815"/>
          <w:jc w:val="center"/>
        </w:trPr>
        <w:tc>
          <w:tcPr>
            <w:tcW w:w="2260"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lang w:val="vi-VN"/>
              </w:rPr>
            </w:pPr>
            <w:r w:rsidRPr="00DD659A">
              <w:rPr>
                <w:i/>
                <w:color w:val="auto"/>
                <w:lang w:val="vi-VN"/>
              </w:rPr>
              <w:t>Tổng số tiền hỗ trợ (đồng)</w:t>
            </w:r>
          </w:p>
        </w:tc>
        <w:tc>
          <w:tcPr>
            <w:tcW w:w="2271"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rPr>
            </w:pPr>
            <w:r w:rsidRPr="00DD659A">
              <w:rPr>
                <w:i/>
                <w:color w:val="auto"/>
              </w:rPr>
              <w:t>231.000</w:t>
            </w:r>
          </w:p>
        </w:tc>
        <w:tc>
          <w:tcPr>
            <w:tcW w:w="2268"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rPr>
            </w:pPr>
            <w:r w:rsidRPr="00DD659A">
              <w:rPr>
                <w:i/>
                <w:color w:val="auto"/>
              </w:rPr>
              <w:t>198.000</w:t>
            </w:r>
          </w:p>
        </w:tc>
        <w:tc>
          <w:tcPr>
            <w:tcW w:w="2410"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rPr>
            </w:pPr>
            <w:r w:rsidRPr="00DD659A">
              <w:rPr>
                <w:i/>
                <w:color w:val="auto"/>
              </w:rPr>
              <w:t>165.000</w:t>
            </w:r>
          </w:p>
        </w:tc>
      </w:tr>
      <w:tr w:rsidR="00305581" w:rsidRPr="00DD659A" w:rsidTr="00DD659A">
        <w:trPr>
          <w:trHeight w:val="923"/>
          <w:jc w:val="center"/>
        </w:trPr>
        <w:tc>
          <w:tcPr>
            <w:tcW w:w="2260"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lang w:val="vi-VN"/>
              </w:rPr>
            </w:pPr>
            <w:r w:rsidRPr="00DD659A">
              <w:rPr>
                <w:b/>
                <w:color w:val="auto"/>
                <w:lang w:val="vi-VN"/>
              </w:rPr>
              <w:t>Tổng tỷ lệ % Người tham gia phải đóng</w:t>
            </w:r>
          </w:p>
        </w:tc>
        <w:tc>
          <w:tcPr>
            <w:tcW w:w="2271"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rPr>
            </w:pPr>
            <w:r w:rsidRPr="00DD659A">
              <w:rPr>
                <w:b/>
                <w:color w:val="auto"/>
              </w:rPr>
              <w:t>30%</w:t>
            </w:r>
          </w:p>
        </w:tc>
        <w:tc>
          <w:tcPr>
            <w:tcW w:w="2268"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rPr>
            </w:pPr>
            <w:r w:rsidRPr="00DD659A">
              <w:rPr>
                <w:b/>
                <w:color w:val="auto"/>
              </w:rPr>
              <w:t>40%</w:t>
            </w:r>
          </w:p>
        </w:tc>
        <w:tc>
          <w:tcPr>
            <w:tcW w:w="2410" w:type="dxa"/>
            <w:shd w:val="clear" w:color="auto" w:fill="auto"/>
            <w:vAlign w:val="center"/>
          </w:tcPr>
          <w:p w:rsidR="0093780D" w:rsidRPr="00DD659A" w:rsidRDefault="0093780D" w:rsidP="00DD659A">
            <w:pPr>
              <w:autoSpaceDE w:val="0"/>
              <w:autoSpaceDN w:val="0"/>
              <w:adjustRightInd w:val="0"/>
              <w:spacing w:after="120" w:line="320" w:lineRule="atLeast"/>
              <w:jc w:val="center"/>
              <w:rPr>
                <w:b/>
                <w:color w:val="auto"/>
              </w:rPr>
            </w:pPr>
            <w:r w:rsidRPr="00DD659A">
              <w:rPr>
                <w:b/>
                <w:color w:val="auto"/>
              </w:rPr>
              <w:t>50%</w:t>
            </w:r>
          </w:p>
        </w:tc>
      </w:tr>
      <w:tr w:rsidR="00DD659A" w:rsidRPr="00DD659A" w:rsidTr="00DD659A">
        <w:trPr>
          <w:trHeight w:val="815"/>
          <w:jc w:val="center"/>
        </w:trPr>
        <w:tc>
          <w:tcPr>
            <w:tcW w:w="2260"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lang w:val="vi-VN"/>
              </w:rPr>
            </w:pPr>
            <w:r w:rsidRPr="00DD659A">
              <w:rPr>
                <w:i/>
                <w:color w:val="auto"/>
                <w:lang w:val="vi-VN"/>
              </w:rPr>
              <w:t xml:space="preserve">Số tiền người tham gia phải đóng </w:t>
            </w:r>
            <w:r w:rsidRPr="00DD659A">
              <w:rPr>
                <w:i/>
                <w:color w:val="auto"/>
                <w:lang w:val="vi-VN"/>
              </w:rPr>
              <w:br/>
              <w:t>(đồng/người/tháng)</w:t>
            </w:r>
          </w:p>
        </w:tc>
        <w:tc>
          <w:tcPr>
            <w:tcW w:w="2271"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rPr>
            </w:pPr>
            <w:r w:rsidRPr="00DD659A">
              <w:rPr>
                <w:i/>
                <w:color w:val="auto"/>
              </w:rPr>
              <w:t>99.000</w:t>
            </w:r>
          </w:p>
        </w:tc>
        <w:tc>
          <w:tcPr>
            <w:tcW w:w="2268"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rPr>
            </w:pPr>
            <w:r w:rsidRPr="00DD659A">
              <w:rPr>
                <w:i/>
                <w:color w:val="auto"/>
              </w:rPr>
              <w:t>132.000</w:t>
            </w:r>
          </w:p>
        </w:tc>
        <w:tc>
          <w:tcPr>
            <w:tcW w:w="2410" w:type="dxa"/>
            <w:shd w:val="clear" w:color="auto" w:fill="auto"/>
            <w:vAlign w:val="center"/>
          </w:tcPr>
          <w:p w:rsidR="0093780D" w:rsidRPr="00DD659A" w:rsidRDefault="0093780D" w:rsidP="00DD659A">
            <w:pPr>
              <w:autoSpaceDE w:val="0"/>
              <w:autoSpaceDN w:val="0"/>
              <w:adjustRightInd w:val="0"/>
              <w:spacing w:after="120" w:line="320" w:lineRule="atLeast"/>
              <w:jc w:val="center"/>
              <w:rPr>
                <w:i/>
                <w:color w:val="auto"/>
              </w:rPr>
            </w:pPr>
            <w:r w:rsidRPr="00DD659A">
              <w:rPr>
                <w:i/>
                <w:color w:val="auto"/>
              </w:rPr>
              <w:t>165.000</w:t>
            </w:r>
          </w:p>
        </w:tc>
      </w:tr>
    </w:tbl>
    <w:p w:rsidR="00C42255" w:rsidRPr="00305581" w:rsidRDefault="006013B6" w:rsidP="00DD659A">
      <w:pPr>
        <w:pStyle w:val="Vnbanccch"/>
        <w:spacing w:line="312" w:lineRule="auto"/>
        <w:jc w:val="both"/>
        <w:rPr>
          <w:rFonts w:ascii="Times New Roman" w:eastAsia="Calibri" w:hAnsi="Times New Roman"/>
          <w:sz w:val="28"/>
          <w:szCs w:val="28"/>
          <w:lang w:val="vi-VN" w:eastAsia="en-US"/>
        </w:rPr>
      </w:pPr>
      <w:r w:rsidRPr="00305581">
        <w:rPr>
          <w:rFonts w:ascii="Times New Roman" w:eastAsia="Calibri" w:hAnsi="Times New Roman"/>
          <w:sz w:val="28"/>
          <w:szCs w:val="28"/>
          <w:lang w:val="vi-VN" w:eastAsia="en-US"/>
        </w:rPr>
        <w:tab/>
        <w:t xml:space="preserve">Người tham gia BHXH tự nguyện hàng tháng đóng </w:t>
      </w:r>
      <w:r w:rsidR="004A12D4" w:rsidRPr="00305581">
        <w:rPr>
          <w:rFonts w:ascii="Times New Roman" w:eastAsia="Calibri" w:hAnsi="Times New Roman"/>
          <w:sz w:val="28"/>
          <w:szCs w:val="28"/>
          <w:lang w:val="en-US" w:eastAsia="en-US"/>
        </w:rPr>
        <w:t xml:space="preserve">tối thiểu </w:t>
      </w:r>
      <w:r w:rsidRPr="00305581">
        <w:rPr>
          <w:rFonts w:ascii="Times New Roman" w:eastAsia="Calibri" w:hAnsi="Times New Roman"/>
          <w:sz w:val="28"/>
          <w:szCs w:val="28"/>
          <w:lang w:val="vi-VN" w:eastAsia="en-US"/>
        </w:rPr>
        <w:t xml:space="preserve">bằng 22% mức thu nhập làm căn cứ đóng BHXH tự nguyện quy định tại khoản 2 Điều 31 và khoản 1 Điều 36 Luật BHXH năm 2024. </w:t>
      </w:r>
    </w:p>
    <w:p w:rsidR="006013B6" w:rsidRPr="00305581" w:rsidRDefault="00C42255" w:rsidP="00DD659A">
      <w:pPr>
        <w:pStyle w:val="Vnbanccch"/>
        <w:spacing w:line="312" w:lineRule="auto"/>
        <w:jc w:val="both"/>
        <w:rPr>
          <w:rFonts w:ascii="Times New Roman" w:eastAsia="Calibri" w:hAnsi="Times New Roman"/>
          <w:sz w:val="28"/>
          <w:szCs w:val="28"/>
          <w:lang w:val="vi-VN" w:eastAsia="en-US"/>
        </w:rPr>
      </w:pPr>
      <w:r w:rsidRPr="00305581">
        <w:rPr>
          <w:rFonts w:ascii="Times New Roman" w:eastAsia="Calibri" w:hAnsi="Times New Roman"/>
          <w:sz w:val="28"/>
          <w:szCs w:val="28"/>
          <w:lang w:val="vi-VN" w:eastAsia="en-US"/>
        </w:rPr>
        <w:tab/>
      </w:r>
      <w:r w:rsidR="006013B6" w:rsidRPr="00305581">
        <w:rPr>
          <w:rFonts w:ascii="Times New Roman" w:eastAsia="Calibri" w:hAnsi="Times New Roman"/>
          <w:sz w:val="28"/>
          <w:szCs w:val="28"/>
          <w:lang w:val="vi-VN" w:eastAsia="en-US"/>
        </w:rPr>
        <w:t xml:space="preserve">Ví dụ: đối tượng tham gia BHXH tự nguyện </w:t>
      </w:r>
      <w:r w:rsidR="006013B6" w:rsidRPr="00305581">
        <w:rPr>
          <w:rFonts w:ascii="Times New Roman" w:eastAsia="Calibri" w:hAnsi="Times New Roman"/>
          <w:b/>
          <w:i/>
          <w:sz w:val="28"/>
          <w:szCs w:val="28"/>
          <w:lang w:val="vi-VN" w:eastAsia="en-US"/>
        </w:rPr>
        <w:t>thuộc hộ nghèo</w:t>
      </w:r>
      <w:r w:rsidR="006013B6" w:rsidRPr="00305581">
        <w:rPr>
          <w:rFonts w:ascii="Times New Roman" w:eastAsia="Calibri" w:hAnsi="Times New Roman"/>
          <w:sz w:val="28"/>
          <w:szCs w:val="28"/>
          <w:lang w:val="vi-VN" w:eastAsia="en-US"/>
        </w:rPr>
        <w:t>, hàng tháng phải đóng 330.000 đồng</w:t>
      </w:r>
      <w:r w:rsidR="00E9396D" w:rsidRPr="00305581">
        <w:rPr>
          <w:rStyle w:val="Thamchiuccch"/>
          <w:rFonts w:ascii="Times New Roman" w:eastAsia="Calibri" w:hAnsi="Times New Roman"/>
          <w:sz w:val="28"/>
          <w:szCs w:val="28"/>
          <w:lang w:val="vi-VN" w:eastAsia="en-US"/>
        </w:rPr>
        <w:footnoteReference w:id="10"/>
      </w:r>
      <w:r w:rsidRPr="00305581">
        <w:rPr>
          <w:rFonts w:ascii="Times New Roman" w:eastAsia="Calibri" w:hAnsi="Times New Roman"/>
          <w:sz w:val="28"/>
          <w:szCs w:val="28"/>
          <w:lang w:val="vi-VN" w:eastAsia="en-US"/>
        </w:rPr>
        <w:t>,</w:t>
      </w:r>
      <w:r w:rsidR="006013B6" w:rsidRPr="00305581">
        <w:rPr>
          <w:rFonts w:ascii="Times New Roman" w:eastAsia="Calibri" w:hAnsi="Times New Roman"/>
          <w:sz w:val="28"/>
          <w:szCs w:val="28"/>
          <w:lang w:val="vi-VN" w:eastAsia="en-US"/>
        </w:rPr>
        <w:t xml:space="preserve"> được ngân sách trung ương hỗ trợ 50%, ngân sách cấp tỉnh hỗ trợ 20%, tổng số tiền được hỗ trợ là (22% x 1.500.000 đồng) x 70% = </w:t>
      </w:r>
      <w:r w:rsidR="006013B6" w:rsidRPr="00305581">
        <w:rPr>
          <w:rFonts w:ascii="Times New Roman" w:eastAsia="Calibri" w:hAnsi="Times New Roman"/>
          <w:sz w:val="28"/>
          <w:szCs w:val="28"/>
          <w:lang w:val="vi-VN" w:eastAsia="en-US"/>
        </w:rPr>
        <w:lastRenderedPageBreak/>
        <w:t>231.000 đồng/tháng/người</w:t>
      </w:r>
      <w:r w:rsidRPr="00305581">
        <w:rPr>
          <w:rFonts w:ascii="Times New Roman" w:eastAsia="Calibri" w:hAnsi="Times New Roman"/>
          <w:sz w:val="28"/>
          <w:szCs w:val="28"/>
          <w:lang w:val="vi-VN" w:eastAsia="en-US"/>
        </w:rPr>
        <w:t xml:space="preserve">, tổng số tiền </w:t>
      </w:r>
      <w:r w:rsidR="00E9396D" w:rsidRPr="00305581">
        <w:rPr>
          <w:rFonts w:ascii="Times New Roman" w:eastAsia="Calibri" w:hAnsi="Times New Roman"/>
          <w:sz w:val="28"/>
          <w:szCs w:val="28"/>
          <w:lang w:val="vi-VN" w:eastAsia="en-US"/>
        </w:rPr>
        <w:t xml:space="preserve">người tham gia BHXH tự nguyện thuộc hộ nghèo </w:t>
      </w:r>
      <w:r w:rsidRPr="00305581">
        <w:rPr>
          <w:rFonts w:ascii="Times New Roman" w:eastAsia="Calibri" w:hAnsi="Times New Roman"/>
          <w:sz w:val="28"/>
          <w:szCs w:val="28"/>
          <w:lang w:val="vi-VN" w:eastAsia="en-US"/>
        </w:rPr>
        <w:t>phải đóng là 99.000đồng/tháng</w:t>
      </w:r>
      <w:r w:rsidR="006013B6" w:rsidRPr="00305581">
        <w:rPr>
          <w:rFonts w:ascii="Times New Roman" w:eastAsia="Calibri" w:hAnsi="Times New Roman"/>
          <w:sz w:val="28"/>
          <w:szCs w:val="28"/>
          <w:lang w:val="vi-VN" w:eastAsia="en-US"/>
        </w:rPr>
        <w:t xml:space="preserve">. </w:t>
      </w:r>
    </w:p>
    <w:p w:rsidR="00EB4B2A" w:rsidRPr="00305581" w:rsidRDefault="00537B1F" w:rsidP="00DD659A">
      <w:pPr>
        <w:autoSpaceDE w:val="0"/>
        <w:autoSpaceDN w:val="0"/>
        <w:adjustRightInd w:val="0"/>
        <w:spacing w:line="312" w:lineRule="auto"/>
        <w:ind w:firstLine="720"/>
        <w:jc w:val="both"/>
        <w:rPr>
          <w:b/>
          <w:color w:val="auto"/>
          <w:lang w:val="vi-VN"/>
        </w:rPr>
      </w:pPr>
      <w:r w:rsidRPr="00305581">
        <w:rPr>
          <w:b/>
          <w:color w:val="auto"/>
          <w:lang w:val="vi-VN"/>
        </w:rPr>
        <w:t xml:space="preserve">2. </w:t>
      </w:r>
      <w:r w:rsidR="00B02132" w:rsidRPr="00305581">
        <w:rPr>
          <w:b/>
          <w:color w:val="auto"/>
          <w:lang w:val="vi-VN"/>
        </w:rPr>
        <w:t>Thời gian hỗ trợ</w:t>
      </w:r>
    </w:p>
    <w:p w:rsidR="00A52056" w:rsidRPr="00305581" w:rsidRDefault="00B02132" w:rsidP="00DD659A">
      <w:pPr>
        <w:autoSpaceDE w:val="0"/>
        <w:autoSpaceDN w:val="0"/>
        <w:adjustRightInd w:val="0"/>
        <w:spacing w:line="312" w:lineRule="auto"/>
        <w:ind w:firstLine="720"/>
        <w:jc w:val="both"/>
        <w:rPr>
          <w:color w:val="auto"/>
          <w:lang w:val="vi-VN" w:eastAsia="zh-CN"/>
        </w:rPr>
      </w:pPr>
      <w:r w:rsidRPr="00305581">
        <w:rPr>
          <w:color w:val="auto"/>
          <w:lang w:val="vi-VN" w:eastAsia="zh-CN"/>
        </w:rPr>
        <w:t xml:space="preserve">Theo thời gian tham gia </w:t>
      </w:r>
      <w:r w:rsidR="006558AC" w:rsidRPr="00305581">
        <w:rPr>
          <w:color w:val="auto"/>
          <w:lang w:val="vi-VN" w:eastAsia="zh-CN"/>
        </w:rPr>
        <w:t>BHXH</w:t>
      </w:r>
      <w:r w:rsidRPr="00305581">
        <w:rPr>
          <w:color w:val="auto"/>
          <w:lang w:val="vi-VN" w:eastAsia="zh-CN"/>
        </w:rPr>
        <w:t xml:space="preserve"> tự nguyện thực tế của mỗi người nhưng không quá 05 năm (60 tháng).</w:t>
      </w:r>
    </w:p>
    <w:p w:rsidR="00846E08" w:rsidRPr="00305581" w:rsidRDefault="00537B1F" w:rsidP="00DD659A">
      <w:pPr>
        <w:autoSpaceDE w:val="0"/>
        <w:autoSpaceDN w:val="0"/>
        <w:adjustRightInd w:val="0"/>
        <w:spacing w:line="312" w:lineRule="auto"/>
        <w:ind w:firstLine="720"/>
        <w:jc w:val="both"/>
        <w:rPr>
          <w:b/>
          <w:color w:val="auto"/>
          <w:lang w:val="vi-VN"/>
        </w:rPr>
      </w:pPr>
      <w:r w:rsidRPr="00305581">
        <w:rPr>
          <w:b/>
          <w:color w:val="auto"/>
          <w:lang w:val="vi-VN"/>
        </w:rPr>
        <w:t>3.</w:t>
      </w:r>
      <w:r w:rsidR="00337CF3" w:rsidRPr="00305581">
        <w:rPr>
          <w:b/>
          <w:color w:val="auto"/>
          <w:lang w:val="vi-VN"/>
        </w:rPr>
        <w:t xml:space="preserve"> </w:t>
      </w:r>
      <w:r w:rsidR="00846E08" w:rsidRPr="00305581">
        <w:rPr>
          <w:b/>
          <w:color w:val="auto"/>
          <w:lang w:val="vi-VN"/>
        </w:rPr>
        <w:t>Về kinh phí</w:t>
      </w:r>
    </w:p>
    <w:p w:rsidR="00B02132" w:rsidRPr="00305581" w:rsidRDefault="00B02132" w:rsidP="00DD659A">
      <w:pPr>
        <w:autoSpaceDE w:val="0"/>
        <w:autoSpaceDN w:val="0"/>
        <w:adjustRightInd w:val="0"/>
        <w:spacing w:line="312" w:lineRule="auto"/>
        <w:ind w:firstLine="720"/>
        <w:jc w:val="both"/>
        <w:rPr>
          <w:color w:val="auto"/>
          <w:lang w:val="vi-VN"/>
        </w:rPr>
      </w:pPr>
      <w:r w:rsidRPr="00305581">
        <w:rPr>
          <w:color w:val="auto"/>
          <w:lang w:val="vi-VN"/>
        </w:rPr>
        <w:t>Nguồn kinh phí thực hiện chính sách do ngân sách tỉnh đảm bảo.</w:t>
      </w:r>
    </w:p>
    <w:p w:rsidR="00B02132" w:rsidRPr="00305581" w:rsidRDefault="00C84BF2" w:rsidP="00DD659A">
      <w:pPr>
        <w:autoSpaceDE w:val="0"/>
        <w:autoSpaceDN w:val="0"/>
        <w:adjustRightInd w:val="0"/>
        <w:spacing w:line="312" w:lineRule="auto"/>
        <w:ind w:firstLine="720"/>
        <w:jc w:val="both"/>
        <w:rPr>
          <w:color w:val="auto"/>
          <w:lang w:val="sv-SE"/>
        </w:rPr>
      </w:pPr>
      <w:r w:rsidRPr="00305581">
        <w:rPr>
          <w:color w:val="auto"/>
          <w:lang w:val="sv-SE"/>
        </w:rPr>
        <w:t xml:space="preserve">Trên đây là Báo cáo </w:t>
      </w:r>
      <w:r w:rsidR="00B02132" w:rsidRPr="00305581">
        <w:rPr>
          <w:color w:val="auto"/>
          <w:lang w:val="vi-VN"/>
        </w:rPr>
        <w:t xml:space="preserve">thực trạng thực hiện chính sách có liên quan đến dự thảo Nghị quyết của Hội đồng nhân dân tỉnh quy định mức hỗ trợ tiền đóng </w:t>
      </w:r>
      <w:r w:rsidR="00D220C6" w:rsidRPr="00305581">
        <w:rPr>
          <w:color w:val="auto"/>
          <w:lang w:val="vi-VN"/>
        </w:rPr>
        <w:t>BHXH</w:t>
      </w:r>
      <w:r w:rsidR="00B02132" w:rsidRPr="00305581">
        <w:rPr>
          <w:color w:val="auto"/>
          <w:lang w:val="vi-VN"/>
        </w:rPr>
        <w:t xml:space="preserve"> cho người tham gia </w:t>
      </w:r>
      <w:r w:rsidR="00D220C6" w:rsidRPr="00305581">
        <w:rPr>
          <w:color w:val="auto"/>
          <w:lang w:val="vi-VN"/>
        </w:rPr>
        <w:t>BHXH</w:t>
      </w:r>
      <w:r w:rsidR="00B02132" w:rsidRPr="00305581">
        <w:rPr>
          <w:color w:val="auto"/>
          <w:lang w:val="vi-VN"/>
        </w:rPr>
        <w:t xml:space="preserve"> tự nguyện</w:t>
      </w:r>
      <w:r w:rsidR="006C3C46" w:rsidRPr="00305581">
        <w:rPr>
          <w:color w:val="auto"/>
          <w:lang w:val="vi-VN"/>
        </w:rPr>
        <w:t xml:space="preserve"> giai đoạn 202</w:t>
      </w:r>
      <w:r w:rsidR="00EC770B" w:rsidRPr="00EC770B">
        <w:rPr>
          <w:color w:val="auto"/>
          <w:lang w:val="vi-VN"/>
        </w:rPr>
        <w:t>6</w:t>
      </w:r>
      <w:r w:rsidR="00C618C6" w:rsidRPr="00305581">
        <w:rPr>
          <w:color w:val="auto"/>
          <w:lang w:val="vi-VN"/>
        </w:rPr>
        <w:t xml:space="preserve"> </w:t>
      </w:r>
      <w:r w:rsidR="006C3C46" w:rsidRPr="00305581">
        <w:rPr>
          <w:color w:val="auto"/>
          <w:lang w:val="vi-VN"/>
        </w:rPr>
        <w:t>-</w:t>
      </w:r>
      <w:r w:rsidR="00C618C6" w:rsidRPr="00305581">
        <w:rPr>
          <w:color w:val="auto"/>
          <w:lang w:val="vi-VN"/>
        </w:rPr>
        <w:t xml:space="preserve"> </w:t>
      </w:r>
      <w:r w:rsidR="006C3C46" w:rsidRPr="00305581">
        <w:rPr>
          <w:color w:val="auto"/>
          <w:lang w:val="vi-VN"/>
        </w:rPr>
        <w:t xml:space="preserve">2030 trên địa bàn tỉnh </w:t>
      </w:r>
      <w:r w:rsidR="0093780D" w:rsidRPr="00305581">
        <w:rPr>
          <w:color w:val="auto"/>
          <w:lang w:val="vi-VN"/>
        </w:rPr>
        <w:t>Thái Nguyên</w:t>
      </w:r>
      <w:r w:rsidR="00A910DC" w:rsidRPr="00305581">
        <w:rPr>
          <w:color w:val="auto"/>
          <w:lang w:val="sv-SE"/>
        </w:rPr>
        <w:t>./.</w:t>
      </w:r>
    </w:p>
    <w:tbl>
      <w:tblPr>
        <w:tblW w:w="0" w:type="auto"/>
        <w:tblLook w:val="04A0" w:firstRow="1" w:lastRow="0" w:firstColumn="1" w:lastColumn="0" w:noHBand="0" w:noVBand="1"/>
      </w:tblPr>
      <w:tblGrid>
        <w:gridCol w:w="4643"/>
        <w:gridCol w:w="4485"/>
      </w:tblGrid>
      <w:tr w:rsidR="00305581" w:rsidRPr="00EC770B" w:rsidTr="00644AF5">
        <w:tc>
          <w:tcPr>
            <w:tcW w:w="4643" w:type="dxa"/>
          </w:tcPr>
          <w:p w:rsidR="0052795C" w:rsidRPr="00305581" w:rsidRDefault="0052795C" w:rsidP="00644AF5">
            <w:pPr>
              <w:spacing w:before="120"/>
              <w:jc w:val="both"/>
              <w:rPr>
                <w:b/>
                <w:i/>
                <w:color w:val="auto"/>
                <w:sz w:val="24"/>
                <w:szCs w:val="24"/>
                <w:lang w:val="de-DE"/>
              </w:rPr>
            </w:pPr>
            <w:r w:rsidRPr="00305581">
              <w:rPr>
                <w:b/>
                <w:i/>
                <w:color w:val="auto"/>
                <w:sz w:val="24"/>
                <w:szCs w:val="24"/>
                <w:lang w:val="de-DE"/>
              </w:rPr>
              <w:t>Nơi nhận:</w:t>
            </w:r>
          </w:p>
          <w:p w:rsidR="0052795C" w:rsidRPr="00305581" w:rsidRDefault="0052795C" w:rsidP="00644AF5">
            <w:pPr>
              <w:jc w:val="both"/>
              <w:rPr>
                <w:color w:val="auto"/>
                <w:sz w:val="22"/>
                <w:szCs w:val="22"/>
                <w:lang w:val="de-DE"/>
              </w:rPr>
            </w:pPr>
            <w:r w:rsidRPr="00305581">
              <w:rPr>
                <w:color w:val="auto"/>
                <w:sz w:val="22"/>
                <w:szCs w:val="22"/>
                <w:lang w:val="de-DE"/>
              </w:rPr>
              <w:t>- Như trên;</w:t>
            </w:r>
          </w:p>
          <w:p w:rsidR="0052795C" w:rsidRPr="00305581" w:rsidRDefault="0052795C" w:rsidP="00644AF5">
            <w:pPr>
              <w:jc w:val="both"/>
              <w:rPr>
                <w:color w:val="auto"/>
                <w:sz w:val="22"/>
                <w:szCs w:val="22"/>
                <w:lang w:val="de-DE"/>
              </w:rPr>
            </w:pPr>
            <w:r w:rsidRPr="00305581">
              <w:rPr>
                <w:color w:val="auto"/>
                <w:sz w:val="22"/>
                <w:szCs w:val="22"/>
                <w:lang w:val="de-DE"/>
              </w:rPr>
              <w:t>- Văn phòng UBND tỉnh;</w:t>
            </w:r>
          </w:p>
          <w:p w:rsidR="0052795C" w:rsidRPr="00305581" w:rsidRDefault="0052795C" w:rsidP="00644AF5">
            <w:pPr>
              <w:jc w:val="both"/>
              <w:rPr>
                <w:color w:val="auto"/>
                <w:sz w:val="22"/>
                <w:szCs w:val="22"/>
                <w:lang w:val="de-DE"/>
              </w:rPr>
            </w:pPr>
            <w:r w:rsidRPr="00305581">
              <w:rPr>
                <w:color w:val="auto"/>
                <w:sz w:val="22"/>
                <w:szCs w:val="22"/>
                <w:lang w:val="de-DE"/>
              </w:rPr>
              <w:t>- Sở Tư pháp;</w:t>
            </w:r>
          </w:p>
          <w:p w:rsidR="00305581" w:rsidRPr="00305581" w:rsidRDefault="00305581" w:rsidP="00644AF5">
            <w:pPr>
              <w:jc w:val="both"/>
              <w:rPr>
                <w:color w:val="auto"/>
                <w:sz w:val="22"/>
                <w:szCs w:val="22"/>
                <w:lang w:val="de-DE"/>
              </w:rPr>
            </w:pPr>
            <w:r w:rsidRPr="00305581">
              <w:rPr>
                <w:color w:val="auto"/>
                <w:sz w:val="22"/>
                <w:szCs w:val="22"/>
                <w:lang w:val="de-DE"/>
              </w:rPr>
              <w:t>- Sở Tài chính;</w:t>
            </w:r>
          </w:p>
          <w:p w:rsidR="00305581" w:rsidRPr="00305581" w:rsidRDefault="00305581" w:rsidP="00644AF5">
            <w:pPr>
              <w:jc w:val="both"/>
              <w:rPr>
                <w:color w:val="auto"/>
                <w:sz w:val="22"/>
                <w:szCs w:val="22"/>
                <w:lang w:val="de-DE"/>
              </w:rPr>
            </w:pPr>
            <w:r w:rsidRPr="00305581">
              <w:rPr>
                <w:color w:val="auto"/>
                <w:sz w:val="22"/>
                <w:szCs w:val="22"/>
                <w:lang w:val="de-DE"/>
              </w:rPr>
              <w:t>- BHXH tỉnh Thái Nguyên;</w:t>
            </w:r>
          </w:p>
          <w:p w:rsidR="0052795C" w:rsidRPr="00305581" w:rsidRDefault="0052795C" w:rsidP="00644AF5">
            <w:pPr>
              <w:jc w:val="both"/>
              <w:rPr>
                <w:color w:val="auto"/>
                <w:sz w:val="22"/>
                <w:szCs w:val="22"/>
                <w:lang w:val="de-DE"/>
              </w:rPr>
            </w:pPr>
            <w:r w:rsidRPr="00305581">
              <w:rPr>
                <w:color w:val="auto"/>
                <w:sz w:val="22"/>
                <w:szCs w:val="22"/>
                <w:lang w:val="de-DE"/>
              </w:rPr>
              <w:t>- Lãnh đạo Sở;</w:t>
            </w:r>
          </w:p>
          <w:p w:rsidR="0052795C" w:rsidRPr="00305581" w:rsidRDefault="0052795C" w:rsidP="00305581">
            <w:pPr>
              <w:rPr>
                <w:b/>
                <w:color w:val="auto"/>
                <w:lang w:val="de-DE"/>
              </w:rPr>
            </w:pPr>
            <w:r w:rsidRPr="00305581">
              <w:rPr>
                <w:color w:val="auto"/>
                <w:sz w:val="22"/>
                <w:szCs w:val="22"/>
                <w:lang w:val="de-DE"/>
              </w:rPr>
              <w:t xml:space="preserve">- Lưu: VT, </w:t>
            </w:r>
            <w:r w:rsidR="00305581" w:rsidRPr="00305581">
              <w:rPr>
                <w:color w:val="auto"/>
                <w:sz w:val="22"/>
                <w:szCs w:val="22"/>
                <w:lang w:val="de-DE"/>
              </w:rPr>
              <w:t>LĐVL</w:t>
            </w:r>
            <w:r w:rsidRPr="00305581">
              <w:rPr>
                <w:color w:val="auto"/>
                <w:sz w:val="18"/>
                <w:szCs w:val="22"/>
                <w:lang w:val="de-DE"/>
              </w:rPr>
              <w:t>.</w:t>
            </w:r>
          </w:p>
        </w:tc>
        <w:tc>
          <w:tcPr>
            <w:tcW w:w="4485" w:type="dxa"/>
          </w:tcPr>
          <w:p w:rsidR="0052795C" w:rsidRPr="00DD659A" w:rsidRDefault="0052795C" w:rsidP="00730662">
            <w:pPr>
              <w:jc w:val="center"/>
              <w:rPr>
                <w:b/>
                <w:color w:val="auto"/>
                <w:lang w:val="de-DE"/>
              </w:rPr>
            </w:pPr>
            <w:r w:rsidRPr="00DD659A">
              <w:rPr>
                <w:b/>
                <w:color w:val="auto"/>
                <w:lang w:val="de-DE"/>
              </w:rPr>
              <w:t>GIÁM ĐỐC</w:t>
            </w:r>
          </w:p>
          <w:p w:rsidR="0052795C" w:rsidRPr="00DD659A" w:rsidRDefault="0052795C" w:rsidP="00644AF5">
            <w:pPr>
              <w:rPr>
                <w:b/>
                <w:color w:val="auto"/>
                <w:lang w:val="de-DE"/>
              </w:rPr>
            </w:pPr>
          </w:p>
          <w:p w:rsidR="00D3412B" w:rsidRPr="00DD659A" w:rsidRDefault="00D3412B" w:rsidP="00644AF5">
            <w:pPr>
              <w:rPr>
                <w:b/>
                <w:color w:val="auto"/>
                <w:lang w:val="de-DE"/>
              </w:rPr>
            </w:pPr>
          </w:p>
          <w:p w:rsidR="0052795C" w:rsidRPr="00DD659A" w:rsidRDefault="0052795C" w:rsidP="00644AF5">
            <w:pPr>
              <w:jc w:val="center"/>
              <w:rPr>
                <w:b/>
                <w:color w:val="auto"/>
                <w:lang w:val="de-DE"/>
              </w:rPr>
            </w:pPr>
          </w:p>
          <w:p w:rsidR="0052795C" w:rsidRDefault="0052795C" w:rsidP="00644AF5">
            <w:pPr>
              <w:jc w:val="center"/>
              <w:rPr>
                <w:b/>
                <w:color w:val="auto"/>
                <w:lang w:val="de-DE"/>
              </w:rPr>
            </w:pPr>
          </w:p>
          <w:p w:rsidR="00DD659A" w:rsidRPr="00DD659A" w:rsidRDefault="00DD659A" w:rsidP="00644AF5">
            <w:pPr>
              <w:jc w:val="center"/>
              <w:rPr>
                <w:b/>
                <w:color w:val="auto"/>
                <w:lang w:val="de-DE"/>
              </w:rPr>
            </w:pPr>
          </w:p>
          <w:p w:rsidR="0052795C" w:rsidRPr="00305581" w:rsidRDefault="00730662" w:rsidP="00644AF5">
            <w:pPr>
              <w:jc w:val="center"/>
              <w:rPr>
                <w:b/>
                <w:color w:val="auto"/>
                <w:lang w:val="vi-VN"/>
              </w:rPr>
            </w:pPr>
            <w:r w:rsidRPr="00DD659A">
              <w:rPr>
                <w:b/>
                <w:color w:val="auto"/>
                <w:lang w:val="de-DE"/>
              </w:rPr>
              <w:t>Dương Xuân Hùng</w:t>
            </w:r>
          </w:p>
        </w:tc>
      </w:tr>
    </w:tbl>
    <w:p w:rsidR="0052795C" w:rsidRPr="00305581" w:rsidRDefault="0052795C" w:rsidP="0052795C">
      <w:pPr>
        <w:tabs>
          <w:tab w:val="left" w:pos="7080"/>
        </w:tabs>
        <w:autoSpaceDE w:val="0"/>
        <w:autoSpaceDN w:val="0"/>
        <w:adjustRightInd w:val="0"/>
        <w:spacing w:before="160" w:after="120" w:line="360" w:lineRule="atLeast"/>
        <w:ind w:firstLine="720"/>
        <w:jc w:val="both"/>
        <w:rPr>
          <w:color w:val="auto"/>
          <w:lang w:val="de-DE"/>
        </w:rPr>
      </w:pPr>
    </w:p>
    <w:p w:rsidR="0005095E" w:rsidRPr="00305581" w:rsidRDefault="0005095E" w:rsidP="0052795C">
      <w:pPr>
        <w:autoSpaceDE w:val="0"/>
        <w:autoSpaceDN w:val="0"/>
        <w:adjustRightInd w:val="0"/>
        <w:spacing w:before="160" w:after="120" w:line="360" w:lineRule="atLeast"/>
        <w:ind w:firstLine="720"/>
        <w:jc w:val="both"/>
        <w:rPr>
          <w:color w:val="auto"/>
          <w:lang w:val="de-DE"/>
        </w:rPr>
        <w:sectPr w:rsidR="0005095E" w:rsidRPr="00305581" w:rsidSect="0056304D">
          <w:headerReference w:type="default" r:id="rId11"/>
          <w:footerReference w:type="even" r:id="rId12"/>
          <w:footerReference w:type="default" r:id="rId13"/>
          <w:pgSz w:w="11907" w:h="16840" w:code="9"/>
          <w:pgMar w:top="1134" w:right="851" w:bottom="1134" w:left="1701" w:header="720" w:footer="720" w:gutter="0"/>
          <w:cols w:space="720"/>
          <w:titlePg/>
          <w:docGrid w:linePitch="360"/>
        </w:sectPr>
      </w:pPr>
    </w:p>
    <w:p w:rsidR="0052795C" w:rsidRPr="00305581" w:rsidRDefault="0052795C" w:rsidP="0052795C">
      <w:pPr>
        <w:autoSpaceDE w:val="0"/>
        <w:autoSpaceDN w:val="0"/>
        <w:adjustRightInd w:val="0"/>
        <w:spacing w:before="160" w:after="120" w:line="360" w:lineRule="atLeast"/>
        <w:ind w:firstLine="720"/>
        <w:jc w:val="center"/>
        <w:rPr>
          <w:b/>
          <w:color w:val="auto"/>
          <w:lang w:val="de-DE"/>
        </w:rPr>
      </w:pPr>
      <w:r w:rsidRPr="00305581">
        <w:rPr>
          <w:b/>
          <w:color w:val="auto"/>
          <w:lang w:val="de-DE"/>
        </w:rPr>
        <w:lastRenderedPageBreak/>
        <w:t>PHỤ LỤC</w:t>
      </w:r>
    </w:p>
    <w:p w:rsidR="00BA0391" w:rsidRPr="00305581" w:rsidRDefault="00BA0391" w:rsidP="00BA0391">
      <w:pPr>
        <w:autoSpaceDE w:val="0"/>
        <w:autoSpaceDN w:val="0"/>
        <w:adjustRightInd w:val="0"/>
        <w:spacing w:before="160" w:after="120" w:line="360" w:lineRule="atLeast"/>
        <w:ind w:firstLine="720"/>
        <w:jc w:val="both"/>
        <w:rPr>
          <w:b/>
          <w:color w:val="auto"/>
          <w:lang w:val="vi-VN"/>
        </w:rPr>
      </w:pPr>
      <w:r w:rsidRPr="00305581">
        <w:rPr>
          <w:b/>
          <w:color w:val="auto"/>
          <w:lang w:val="vi-VN"/>
        </w:rPr>
        <w:t>1. Chủ trương, đường lối của Đảng có liên quan đến dự thảo Nghị quyết</w:t>
      </w:r>
      <w:r w:rsidR="0005095E" w:rsidRPr="00305581">
        <w:rPr>
          <w:b/>
          <w:color w:val="auto"/>
          <w:lang w:val="vi-VN"/>
        </w:rPr>
        <w:t>:</w:t>
      </w:r>
    </w:p>
    <w:tbl>
      <w:tblPr>
        <w:tblW w:w="14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9032"/>
        <w:gridCol w:w="5072"/>
      </w:tblGrid>
      <w:tr w:rsidR="00305581" w:rsidRPr="00EC770B" w:rsidTr="0005095E">
        <w:trPr>
          <w:jc w:val="center"/>
        </w:trPr>
        <w:tc>
          <w:tcPr>
            <w:tcW w:w="746" w:type="dxa"/>
            <w:shd w:val="clear" w:color="auto" w:fill="auto"/>
            <w:vAlign w:val="center"/>
          </w:tcPr>
          <w:p w:rsidR="0005095E" w:rsidRPr="00305581" w:rsidRDefault="0005095E" w:rsidP="0005095E">
            <w:pPr>
              <w:autoSpaceDE w:val="0"/>
              <w:autoSpaceDN w:val="0"/>
              <w:adjustRightInd w:val="0"/>
              <w:spacing w:before="160" w:after="120" w:line="360" w:lineRule="atLeast"/>
              <w:jc w:val="center"/>
              <w:rPr>
                <w:b/>
                <w:color w:val="auto"/>
                <w:shd w:val="clear" w:color="auto" w:fill="FFFFFF"/>
                <w:lang w:val="vi-VN"/>
              </w:rPr>
            </w:pPr>
            <w:r w:rsidRPr="00305581">
              <w:rPr>
                <w:b/>
                <w:color w:val="auto"/>
                <w:shd w:val="clear" w:color="auto" w:fill="FFFFFF"/>
                <w:lang w:val="vi-VN"/>
              </w:rPr>
              <w:t>STT</w:t>
            </w:r>
          </w:p>
        </w:tc>
        <w:tc>
          <w:tcPr>
            <w:tcW w:w="9032" w:type="dxa"/>
            <w:shd w:val="clear" w:color="auto" w:fill="auto"/>
            <w:vAlign w:val="center"/>
          </w:tcPr>
          <w:p w:rsidR="0005095E" w:rsidRPr="00305581" w:rsidRDefault="0005095E" w:rsidP="0005095E">
            <w:pPr>
              <w:autoSpaceDE w:val="0"/>
              <w:autoSpaceDN w:val="0"/>
              <w:adjustRightInd w:val="0"/>
              <w:spacing w:before="160" w:after="120" w:line="360" w:lineRule="atLeast"/>
              <w:jc w:val="center"/>
              <w:rPr>
                <w:b/>
                <w:color w:val="auto"/>
                <w:shd w:val="clear" w:color="auto" w:fill="FFFFFF"/>
                <w:lang w:val="vi-VN"/>
              </w:rPr>
            </w:pPr>
            <w:r w:rsidRPr="00305581">
              <w:rPr>
                <w:b/>
                <w:color w:val="auto"/>
                <w:shd w:val="clear" w:color="auto" w:fill="FFFFFF"/>
                <w:lang w:val="vi-VN"/>
              </w:rPr>
              <w:t>Chủ trương, đường lối của Đảng</w:t>
            </w:r>
          </w:p>
        </w:tc>
        <w:tc>
          <w:tcPr>
            <w:tcW w:w="5072" w:type="dxa"/>
            <w:shd w:val="clear" w:color="auto" w:fill="auto"/>
            <w:vAlign w:val="center"/>
          </w:tcPr>
          <w:p w:rsidR="0005095E" w:rsidRPr="00305581" w:rsidRDefault="0005095E" w:rsidP="0005095E">
            <w:pPr>
              <w:autoSpaceDE w:val="0"/>
              <w:autoSpaceDN w:val="0"/>
              <w:adjustRightInd w:val="0"/>
              <w:spacing w:before="160" w:after="120" w:line="360" w:lineRule="atLeast"/>
              <w:jc w:val="center"/>
              <w:rPr>
                <w:b/>
                <w:color w:val="auto"/>
                <w:shd w:val="clear" w:color="auto" w:fill="FFFFFF"/>
                <w:lang w:val="vi-VN"/>
              </w:rPr>
            </w:pPr>
            <w:r w:rsidRPr="00305581">
              <w:rPr>
                <w:b/>
                <w:color w:val="auto"/>
                <w:shd w:val="clear" w:color="auto" w:fill="FFFFFF"/>
                <w:lang w:val="vi-VN"/>
              </w:rPr>
              <w:t>Chính sách, quy định liên quan đến dự thảo Nghị quyết</w:t>
            </w:r>
          </w:p>
        </w:tc>
      </w:tr>
      <w:tr w:rsidR="00305581" w:rsidRPr="00EC770B" w:rsidTr="0005095E">
        <w:trPr>
          <w:jc w:val="center"/>
        </w:trPr>
        <w:tc>
          <w:tcPr>
            <w:tcW w:w="746" w:type="dxa"/>
            <w:shd w:val="clear" w:color="auto" w:fill="auto"/>
            <w:vAlign w:val="center"/>
          </w:tcPr>
          <w:p w:rsidR="0005095E" w:rsidRPr="00305581" w:rsidRDefault="0005095E" w:rsidP="0005095E">
            <w:pPr>
              <w:autoSpaceDE w:val="0"/>
              <w:autoSpaceDN w:val="0"/>
              <w:adjustRightInd w:val="0"/>
              <w:spacing w:before="160" w:after="120" w:line="360" w:lineRule="atLeast"/>
              <w:jc w:val="center"/>
              <w:rPr>
                <w:color w:val="auto"/>
                <w:shd w:val="clear" w:color="auto" w:fill="FFFFFF"/>
                <w:lang w:val="vi-VN"/>
              </w:rPr>
            </w:pPr>
            <w:r w:rsidRPr="00305581">
              <w:rPr>
                <w:color w:val="auto"/>
                <w:shd w:val="clear" w:color="auto" w:fill="FFFFFF"/>
                <w:lang w:val="vi-VN"/>
              </w:rPr>
              <w:t>1</w:t>
            </w:r>
          </w:p>
        </w:tc>
        <w:tc>
          <w:tcPr>
            <w:tcW w:w="9032" w:type="dxa"/>
            <w:shd w:val="clear" w:color="auto" w:fill="auto"/>
            <w:vAlign w:val="center"/>
          </w:tcPr>
          <w:p w:rsidR="0005095E" w:rsidRPr="00305581" w:rsidRDefault="0005095E" w:rsidP="00F1600E">
            <w:pPr>
              <w:autoSpaceDE w:val="0"/>
              <w:autoSpaceDN w:val="0"/>
              <w:adjustRightInd w:val="0"/>
              <w:spacing w:before="160" w:after="120" w:line="360" w:lineRule="atLeast"/>
              <w:jc w:val="both"/>
              <w:rPr>
                <w:color w:val="auto"/>
                <w:shd w:val="clear" w:color="auto" w:fill="FFFFFF"/>
                <w:lang w:val="vi-VN"/>
              </w:rPr>
            </w:pPr>
            <w:r w:rsidRPr="00305581">
              <w:rPr>
                <w:color w:val="auto"/>
                <w:lang w:val="vi-VN"/>
              </w:rPr>
              <w:t>Nghị quyết số 28-NQ/TW, ngày 23/5/2018 của Hội nghị lần thứ bảy Ban Chấp hành Trung ương khóa XII về cải cách chính sách bảo hiểm xã hội</w:t>
            </w:r>
          </w:p>
        </w:tc>
        <w:tc>
          <w:tcPr>
            <w:tcW w:w="5072" w:type="dxa"/>
            <w:vMerge w:val="restart"/>
            <w:shd w:val="clear" w:color="auto" w:fill="auto"/>
            <w:vAlign w:val="center"/>
          </w:tcPr>
          <w:p w:rsidR="0005095E" w:rsidRPr="00305581" w:rsidRDefault="0005095E" w:rsidP="0005095E">
            <w:pPr>
              <w:spacing w:before="120" w:after="120" w:line="340" w:lineRule="atLeast"/>
              <w:jc w:val="both"/>
              <w:rPr>
                <w:color w:val="auto"/>
                <w:lang w:val="vi-VN"/>
              </w:rPr>
            </w:pPr>
            <w:r w:rsidRPr="00305581">
              <w:rPr>
                <w:color w:val="auto"/>
                <w:lang w:val="vi-VN"/>
              </w:rPr>
              <w:t>Mục tiêu: Phấn đấu đạt khoảng 60% lực lượng lao động trong độ tuổi tham gia bảo hiểm xã hội, trong đó nông dân và lao động khu vực phi chính thức tham gia bảo hiểm xã hội tự nguyện chiếm khoảng 5 % lực lượng lao động trong độ tuổi...khoảng 60% số người sau độ tuổi nghỉ hưu được hương lương hưu, bảo hiểm xã hội hằng tháng và trợ cấp hưu trí xã hội; chỉ số đánh giá mức độ hài lòng của người tham gia bảo hiểm xã hội đạt mức 90 %.</w:t>
            </w:r>
          </w:p>
          <w:p w:rsidR="0005095E" w:rsidRPr="00305581" w:rsidRDefault="0005095E" w:rsidP="0005095E">
            <w:pPr>
              <w:autoSpaceDE w:val="0"/>
              <w:autoSpaceDN w:val="0"/>
              <w:adjustRightInd w:val="0"/>
              <w:spacing w:before="160" w:after="120" w:line="360" w:lineRule="atLeast"/>
              <w:jc w:val="both"/>
              <w:rPr>
                <w:color w:val="auto"/>
                <w:shd w:val="clear" w:color="auto" w:fill="FFFFFF"/>
                <w:lang w:val="vi-VN"/>
              </w:rPr>
            </w:pPr>
          </w:p>
        </w:tc>
      </w:tr>
      <w:tr w:rsidR="00305581" w:rsidRPr="00EC770B" w:rsidTr="0005095E">
        <w:trPr>
          <w:jc w:val="center"/>
        </w:trPr>
        <w:tc>
          <w:tcPr>
            <w:tcW w:w="746" w:type="dxa"/>
            <w:shd w:val="clear" w:color="auto" w:fill="auto"/>
            <w:vAlign w:val="center"/>
          </w:tcPr>
          <w:p w:rsidR="0005095E" w:rsidRPr="00305581" w:rsidRDefault="0005095E" w:rsidP="0005095E">
            <w:pPr>
              <w:autoSpaceDE w:val="0"/>
              <w:autoSpaceDN w:val="0"/>
              <w:adjustRightInd w:val="0"/>
              <w:spacing w:before="160" w:after="120" w:line="360" w:lineRule="atLeast"/>
              <w:jc w:val="center"/>
              <w:rPr>
                <w:color w:val="auto"/>
                <w:shd w:val="clear" w:color="auto" w:fill="FFFFFF"/>
                <w:lang w:val="vi-VN"/>
              </w:rPr>
            </w:pPr>
            <w:r w:rsidRPr="00305581">
              <w:rPr>
                <w:color w:val="auto"/>
                <w:shd w:val="clear" w:color="auto" w:fill="FFFFFF"/>
                <w:lang w:val="vi-VN"/>
              </w:rPr>
              <w:t>2</w:t>
            </w:r>
          </w:p>
        </w:tc>
        <w:tc>
          <w:tcPr>
            <w:tcW w:w="9032" w:type="dxa"/>
            <w:shd w:val="clear" w:color="auto" w:fill="auto"/>
            <w:vAlign w:val="center"/>
          </w:tcPr>
          <w:p w:rsidR="0005095E" w:rsidRPr="00305581" w:rsidRDefault="0005095E" w:rsidP="0005095E">
            <w:pPr>
              <w:autoSpaceDE w:val="0"/>
              <w:autoSpaceDN w:val="0"/>
              <w:adjustRightInd w:val="0"/>
              <w:spacing w:before="160" w:after="120" w:line="360" w:lineRule="atLeast"/>
              <w:jc w:val="both"/>
              <w:rPr>
                <w:color w:val="auto"/>
                <w:shd w:val="clear" w:color="auto" w:fill="FFFFFF"/>
                <w:lang w:val="vi-VN"/>
              </w:rPr>
            </w:pPr>
            <w:r w:rsidRPr="00305581">
              <w:rPr>
                <w:color w:val="auto"/>
                <w:lang w:val="vi-VN"/>
              </w:rPr>
              <w:t>Nghị quyết số 125/NQ-CP ngày 08/10/2018 của Chính phủ ban hành Chương trình hành động của Chính phủ thực hiện Nghị quyết số 28-NQ/TW, ngày 23/5/2018 của Hội nghị lần thứ bảy Ban Chấp hành Trung ương khóa XII về cải cách chính sách bảo hiểm xã hội</w:t>
            </w:r>
          </w:p>
        </w:tc>
        <w:tc>
          <w:tcPr>
            <w:tcW w:w="5072" w:type="dxa"/>
            <w:vMerge/>
            <w:shd w:val="clear" w:color="auto" w:fill="auto"/>
            <w:vAlign w:val="center"/>
          </w:tcPr>
          <w:p w:rsidR="0005095E" w:rsidRPr="00305581" w:rsidRDefault="0005095E" w:rsidP="0005095E">
            <w:pPr>
              <w:autoSpaceDE w:val="0"/>
              <w:autoSpaceDN w:val="0"/>
              <w:adjustRightInd w:val="0"/>
              <w:spacing w:before="160" w:after="120" w:line="360" w:lineRule="atLeast"/>
              <w:jc w:val="center"/>
              <w:rPr>
                <w:color w:val="auto"/>
                <w:shd w:val="clear" w:color="auto" w:fill="FFFFFF"/>
                <w:lang w:val="vi-VN"/>
              </w:rPr>
            </w:pPr>
          </w:p>
        </w:tc>
      </w:tr>
      <w:tr w:rsidR="00305581" w:rsidRPr="00EC770B" w:rsidTr="0005095E">
        <w:trPr>
          <w:jc w:val="center"/>
        </w:trPr>
        <w:tc>
          <w:tcPr>
            <w:tcW w:w="746" w:type="dxa"/>
            <w:shd w:val="clear" w:color="auto" w:fill="auto"/>
            <w:vAlign w:val="center"/>
          </w:tcPr>
          <w:p w:rsidR="0005095E" w:rsidRPr="00305581" w:rsidRDefault="0005095E" w:rsidP="0005095E">
            <w:pPr>
              <w:autoSpaceDE w:val="0"/>
              <w:autoSpaceDN w:val="0"/>
              <w:adjustRightInd w:val="0"/>
              <w:spacing w:before="160" w:after="120" w:line="360" w:lineRule="atLeast"/>
              <w:jc w:val="center"/>
              <w:rPr>
                <w:color w:val="auto"/>
                <w:shd w:val="clear" w:color="auto" w:fill="FFFFFF"/>
                <w:lang w:val="vi-VN"/>
              </w:rPr>
            </w:pPr>
            <w:r w:rsidRPr="00305581">
              <w:rPr>
                <w:color w:val="auto"/>
                <w:shd w:val="clear" w:color="auto" w:fill="FFFFFF"/>
                <w:lang w:val="vi-VN"/>
              </w:rPr>
              <w:t>3</w:t>
            </w:r>
          </w:p>
        </w:tc>
        <w:tc>
          <w:tcPr>
            <w:tcW w:w="9032" w:type="dxa"/>
            <w:shd w:val="clear" w:color="auto" w:fill="auto"/>
            <w:vAlign w:val="center"/>
          </w:tcPr>
          <w:p w:rsidR="0005095E" w:rsidRPr="00305581" w:rsidRDefault="00FE636D" w:rsidP="0005095E">
            <w:pPr>
              <w:autoSpaceDE w:val="0"/>
              <w:autoSpaceDN w:val="0"/>
              <w:adjustRightInd w:val="0"/>
              <w:spacing w:before="160" w:after="120" w:line="360" w:lineRule="atLeast"/>
              <w:jc w:val="both"/>
              <w:rPr>
                <w:color w:val="auto"/>
                <w:shd w:val="clear" w:color="auto" w:fill="FFFFFF"/>
                <w:lang w:val="vi-VN"/>
              </w:rPr>
            </w:pPr>
            <w:r w:rsidRPr="00305581">
              <w:rPr>
                <w:bCs/>
                <w:color w:val="auto"/>
                <w:lang w:val="vi-VN"/>
              </w:rPr>
              <w:t>Chương trình hành động số 25-CTr/TU ngày 26/7/2018 của Ban Chấp hành Đảng bộ tỉnh thực hiện Nghị quyết số 28-NQ/TW ngày 23/5/2018 của Ban Chấp hành Trung ương khóa XII về cải cách chính sách bảo hiểm xã hội</w:t>
            </w:r>
          </w:p>
        </w:tc>
        <w:tc>
          <w:tcPr>
            <w:tcW w:w="5072" w:type="dxa"/>
            <w:vMerge/>
            <w:shd w:val="clear" w:color="auto" w:fill="auto"/>
            <w:vAlign w:val="center"/>
          </w:tcPr>
          <w:p w:rsidR="0005095E" w:rsidRPr="00305581" w:rsidRDefault="0005095E" w:rsidP="0005095E">
            <w:pPr>
              <w:autoSpaceDE w:val="0"/>
              <w:autoSpaceDN w:val="0"/>
              <w:adjustRightInd w:val="0"/>
              <w:spacing w:before="160" w:after="120" w:line="360" w:lineRule="atLeast"/>
              <w:jc w:val="center"/>
              <w:rPr>
                <w:color w:val="auto"/>
                <w:shd w:val="clear" w:color="auto" w:fill="FFFFFF"/>
                <w:lang w:val="vi-VN"/>
              </w:rPr>
            </w:pPr>
          </w:p>
        </w:tc>
      </w:tr>
      <w:tr w:rsidR="00305581" w:rsidRPr="00EC770B" w:rsidTr="0005095E">
        <w:trPr>
          <w:jc w:val="center"/>
        </w:trPr>
        <w:tc>
          <w:tcPr>
            <w:tcW w:w="746" w:type="dxa"/>
            <w:shd w:val="clear" w:color="auto" w:fill="auto"/>
            <w:vAlign w:val="center"/>
          </w:tcPr>
          <w:p w:rsidR="0005095E" w:rsidRPr="00305581" w:rsidRDefault="0005095E" w:rsidP="0005095E">
            <w:pPr>
              <w:autoSpaceDE w:val="0"/>
              <w:autoSpaceDN w:val="0"/>
              <w:adjustRightInd w:val="0"/>
              <w:spacing w:before="160" w:after="120" w:line="360" w:lineRule="atLeast"/>
              <w:jc w:val="center"/>
              <w:rPr>
                <w:color w:val="auto"/>
                <w:shd w:val="clear" w:color="auto" w:fill="FFFFFF"/>
                <w:lang w:val="vi-VN"/>
              </w:rPr>
            </w:pPr>
            <w:r w:rsidRPr="00305581">
              <w:rPr>
                <w:color w:val="auto"/>
                <w:shd w:val="clear" w:color="auto" w:fill="FFFFFF"/>
                <w:lang w:val="vi-VN"/>
              </w:rPr>
              <w:t>4</w:t>
            </w:r>
          </w:p>
        </w:tc>
        <w:tc>
          <w:tcPr>
            <w:tcW w:w="9032" w:type="dxa"/>
            <w:shd w:val="clear" w:color="auto" w:fill="auto"/>
            <w:vAlign w:val="center"/>
          </w:tcPr>
          <w:p w:rsidR="0005095E" w:rsidRPr="00305581" w:rsidRDefault="0005095E" w:rsidP="0005095E">
            <w:pPr>
              <w:spacing w:before="120" w:after="120" w:line="340" w:lineRule="atLeast"/>
              <w:jc w:val="both"/>
              <w:rPr>
                <w:color w:val="auto"/>
                <w:lang w:val="vi-VN"/>
              </w:rPr>
            </w:pPr>
            <w:r w:rsidRPr="00305581">
              <w:rPr>
                <w:color w:val="auto"/>
                <w:lang w:val="vi-VN"/>
              </w:rPr>
              <w:t>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tc>
        <w:tc>
          <w:tcPr>
            <w:tcW w:w="5072" w:type="dxa"/>
            <w:vMerge w:val="restart"/>
            <w:shd w:val="clear" w:color="auto" w:fill="auto"/>
            <w:vAlign w:val="center"/>
          </w:tcPr>
          <w:p w:rsidR="0005095E" w:rsidRPr="00305581" w:rsidRDefault="0005095E" w:rsidP="0005095E">
            <w:pPr>
              <w:spacing w:before="120" w:after="120" w:line="340" w:lineRule="atLeast"/>
              <w:jc w:val="both"/>
              <w:rPr>
                <w:color w:val="auto"/>
                <w:lang w:val="vi-VN"/>
              </w:rPr>
            </w:pPr>
            <w:r w:rsidRPr="00305581">
              <w:rPr>
                <w:color w:val="auto"/>
                <w:lang w:val="vi-VN"/>
              </w:rPr>
              <w:t>Mục tiêu đến năm 2030: 60% lực lượng lao động trong độ tuổi tham gia bảo hiểm xã hội; 60% số người sau độ tuổi nghỉ hưu được hưởng lương hưu, bảo hiểm xã hội hằng tháng và trợ cấp hưu trí xã hội.</w:t>
            </w:r>
          </w:p>
          <w:p w:rsidR="0005095E" w:rsidRPr="00305581" w:rsidRDefault="0005095E" w:rsidP="00CF4BFF">
            <w:pPr>
              <w:spacing w:before="120" w:after="120" w:line="340" w:lineRule="atLeast"/>
              <w:jc w:val="both"/>
              <w:rPr>
                <w:color w:val="auto"/>
                <w:lang w:val="vi-VN"/>
              </w:rPr>
            </w:pPr>
            <w:r w:rsidRPr="00305581">
              <w:rPr>
                <w:color w:val="auto"/>
                <w:lang w:val="vi-VN"/>
              </w:rPr>
              <w:t xml:space="preserve">Nhiệm vụ: </w:t>
            </w:r>
            <w:r w:rsidR="00C65F49" w:rsidRPr="00305581">
              <w:rPr>
                <w:color w:val="auto"/>
                <w:lang w:val="vi-VN"/>
              </w:rPr>
              <w:t xml:space="preserve">Xây dựng giải pháp cụ thể, phù hợp nhằm nâng cao hiệu lực, hiệu quả thực </w:t>
            </w:r>
            <w:r w:rsidR="00C65F49" w:rsidRPr="00305581">
              <w:rPr>
                <w:color w:val="auto"/>
                <w:lang w:val="vi-VN"/>
              </w:rPr>
              <w:lastRenderedPageBreak/>
              <w:t>hiện chính sách bảo hiểm xã hội, bảo hiểm thất nghiệp, bảo hiểm y tế</w:t>
            </w:r>
            <w:r w:rsidRPr="00305581">
              <w:rPr>
                <w:color w:val="auto"/>
                <w:lang w:val="vi-VN"/>
              </w:rPr>
              <w:t>.</w:t>
            </w:r>
          </w:p>
        </w:tc>
      </w:tr>
      <w:tr w:rsidR="00305581" w:rsidRPr="00EC770B" w:rsidTr="0005095E">
        <w:trPr>
          <w:jc w:val="center"/>
        </w:trPr>
        <w:tc>
          <w:tcPr>
            <w:tcW w:w="746" w:type="dxa"/>
            <w:shd w:val="clear" w:color="auto" w:fill="auto"/>
            <w:vAlign w:val="center"/>
          </w:tcPr>
          <w:p w:rsidR="0005095E" w:rsidRPr="00305581" w:rsidRDefault="0005095E" w:rsidP="0005095E">
            <w:pPr>
              <w:autoSpaceDE w:val="0"/>
              <w:autoSpaceDN w:val="0"/>
              <w:adjustRightInd w:val="0"/>
              <w:spacing w:before="160" w:after="120" w:line="360" w:lineRule="atLeast"/>
              <w:jc w:val="center"/>
              <w:rPr>
                <w:color w:val="auto"/>
                <w:shd w:val="clear" w:color="auto" w:fill="FFFFFF"/>
                <w:lang w:val="vi-VN"/>
              </w:rPr>
            </w:pPr>
            <w:r w:rsidRPr="00305581">
              <w:rPr>
                <w:color w:val="auto"/>
                <w:shd w:val="clear" w:color="auto" w:fill="FFFFFF"/>
                <w:lang w:val="vi-VN"/>
              </w:rPr>
              <w:t>5</w:t>
            </w:r>
          </w:p>
        </w:tc>
        <w:tc>
          <w:tcPr>
            <w:tcW w:w="9032" w:type="dxa"/>
            <w:shd w:val="clear" w:color="auto" w:fill="auto"/>
            <w:vAlign w:val="center"/>
          </w:tcPr>
          <w:p w:rsidR="0005095E" w:rsidRPr="00305581" w:rsidRDefault="0005095E" w:rsidP="0005095E">
            <w:pPr>
              <w:spacing w:before="120" w:after="120" w:line="340" w:lineRule="atLeast"/>
              <w:jc w:val="both"/>
              <w:rPr>
                <w:color w:val="auto"/>
                <w:lang w:val="vi-VN"/>
              </w:rPr>
            </w:pPr>
            <w:r w:rsidRPr="00305581">
              <w:rPr>
                <w:color w:val="auto"/>
                <w:lang w:val="vi-VN"/>
              </w:rPr>
              <w:t xml:space="preserve">Chương trình hành động </w:t>
            </w:r>
            <w:r w:rsidR="00DE1C8F" w:rsidRPr="00305581">
              <w:rPr>
                <w:color w:val="auto"/>
                <w:lang w:val="vi-VN"/>
              </w:rPr>
              <w:t>số 48</w:t>
            </w:r>
            <w:r w:rsidRPr="00305581">
              <w:rPr>
                <w:color w:val="auto"/>
                <w:lang w:val="vi-VN"/>
              </w:rPr>
              <w:t xml:space="preserve">-CTr/TU, ngày </w:t>
            </w:r>
            <w:r w:rsidR="00DE1C8F" w:rsidRPr="00305581">
              <w:rPr>
                <w:color w:val="auto"/>
                <w:lang w:val="vi-VN"/>
              </w:rPr>
              <w:t>04/01</w:t>
            </w:r>
            <w:r w:rsidRPr="00305581">
              <w:rPr>
                <w:color w:val="auto"/>
                <w:lang w:val="vi-VN"/>
              </w:rPr>
              <w:t xml:space="preserve">/2024 của Ban </w:t>
            </w:r>
            <w:r w:rsidR="0095008F" w:rsidRPr="00305581">
              <w:rPr>
                <w:color w:val="auto"/>
                <w:lang w:val="vi-VN"/>
              </w:rPr>
              <w:t>Chấp hành Đảng bộ tỉnh</w:t>
            </w:r>
            <w:r w:rsidRPr="00305581">
              <w:rPr>
                <w:color w:val="auto"/>
                <w:lang w:val="vi-VN"/>
              </w:rPr>
              <w:t xml:space="preserve"> về thực hiện Nghị quyết số 42-NQ/TW, ngày 24/11/2023 của Ban Chấp hành Trung ương Đảng khóa XIII về tiếp tục đổi mới, nâng cao chất lượng chính sách xã hội, đáp ứng yêu cầu sự nghiệp xây dựng và bảo vệ </w:t>
            </w:r>
            <w:r w:rsidRPr="00305581">
              <w:rPr>
                <w:color w:val="auto"/>
                <w:lang w:val="vi-VN"/>
              </w:rPr>
              <w:lastRenderedPageBreak/>
              <w:t>Tổ quốc trong giai đoạn mới</w:t>
            </w:r>
          </w:p>
        </w:tc>
        <w:tc>
          <w:tcPr>
            <w:tcW w:w="5072" w:type="dxa"/>
            <w:vMerge/>
            <w:shd w:val="clear" w:color="auto" w:fill="auto"/>
            <w:vAlign w:val="center"/>
          </w:tcPr>
          <w:p w:rsidR="0005095E" w:rsidRPr="00305581" w:rsidRDefault="0005095E" w:rsidP="0005095E">
            <w:pPr>
              <w:autoSpaceDE w:val="0"/>
              <w:autoSpaceDN w:val="0"/>
              <w:adjustRightInd w:val="0"/>
              <w:spacing w:before="160" w:after="120" w:line="360" w:lineRule="atLeast"/>
              <w:jc w:val="center"/>
              <w:rPr>
                <w:color w:val="auto"/>
                <w:shd w:val="clear" w:color="auto" w:fill="FFFFFF"/>
                <w:lang w:val="de-DE"/>
              </w:rPr>
            </w:pPr>
          </w:p>
        </w:tc>
      </w:tr>
      <w:tr w:rsidR="00305581" w:rsidRPr="00EC770B" w:rsidTr="00973139">
        <w:trPr>
          <w:jc w:val="center"/>
        </w:trPr>
        <w:tc>
          <w:tcPr>
            <w:tcW w:w="746" w:type="dxa"/>
            <w:shd w:val="clear" w:color="auto" w:fill="auto"/>
            <w:vAlign w:val="center"/>
          </w:tcPr>
          <w:p w:rsidR="00973139" w:rsidRPr="00305581" w:rsidRDefault="00973139" w:rsidP="00FD628D">
            <w:pPr>
              <w:autoSpaceDE w:val="0"/>
              <w:autoSpaceDN w:val="0"/>
              <w:adjustRightInd w:val="0"/>
              <w:spacing w:before="160" w:after="120" w:line="360" w:lineRule="atLeast"/>
              <w:jc w:val="center"/>
              <w:rPr>
                <w:color w:val="auto"/>
                <w:shd w:val="clear" w:color="auto" w:fill="FFFFFF"/>
                <w:lang w:val="vi-VN"/>
              </w:rPr>
            </w:pPr>
            <w:r w:rsidRPr="00305581">
              <w:rPr>
                <w:color w:val="auto"/>
                <w:shd w:val="clear" w:color="auto" w:fill="FFFFFF"/>
                <w:lang w:val="vi-VN"/>
              </w:rPr>
              <w:lastRenderedPageBreak/>
              <w:t>6</w:t>
            </w:r>
          </w:p>
        </w:tc>
        <w:tc>
          <w:tcPr>
            <w:tcW w:w="9032" w:type="dxa"/>
            <w:shd w:val="clear" w:color="auto" w:fill="auto"/>
            <w:vAlign w:val="center"/>
          </w:tcPr>
          <w:p w:rsidR="008D6D5D" w:rsidRPr="00305581" w:rsidRDefault="008D6D5D" w:rsidP="00973139">
            <w:pPr>
              <w:autoSpaceDE w:val="0"/>
              <w:autoSpaceDN w:val="0"/>
              <w:adjustRightInd w:val="0"/>
              <w:spacing w:before="160" w:after="120" w:line="360" w:lineRule="atLeast"/>
              <w:jc w:val="both"/>
              <w:rPr>
                <w:color w:val="auto"/>
                <w:highlight w:val="yellow"/>
                <w:shd w:val="clear" w:color="auto" w:fill="FFFFFF"/>
                <w:lang w:val="vi-VN"/>
              </w:rPr>
            </w:pPr>
            <w:r w:rsidRPr="00305581">
              <w:rPr>
                <w:color w:val="auto"/>
                <w:lang w:val="vi-VN"/>
              </w:rPr>
              <w:t>Nghị quyết số 403/NQ-CP ngày 10/12/2025 của Chính phủ về việc giao chỉ tiêu phát triển đối tượng tham gia bảo hiểm xã hội đến năm 2030</w:t>
            </w:r>
          </w:p>
        </w:tc>
        <w:tc>
          <w:tcPr>
            <w:tcW w:w="5072" w:type="dxa"/>
            <w:shd w:val="clear" w:color="auto" w:fill="auto"/>
            <w:vAlign w:val="center"/>
          </w:tcPr>
          <w:p w:rsidR="008D6D5D" w:rsidRPr="00305581" w:rsidRDefault="00973139" w:rsidP="008D6D5D">
            <w:pPr>
              <w:autoSpaceDE w:val="0"/>
              <w:autoSpaceDN w:val="0"/>
              <w:adjustRightInd w:val="0"/>
              <w:spacing w:before="160" w:after="120" w:line="360" w:lineRule="atLeast"/>
              <w:jc w:val="both"/>
              <w:rPr>
                <w:color w:val="auto"/>
                <w:lang w:val="vi-VN"/>
              </w:rPr>
            </w:pPr>
            <w:r w:rsidRPr="00305581">
              <w:rPr>
                <w:color w:val="auto"/>
                <w:shd w:val="clear" w:color="auto" w:fill="FFFFFF"/>
                <w:lang w:val="vi-VN"/>
              </w:rPr>
              <w:t xml:space="preserve">Mục tiêu: </w:t>
            </w:r>
            <w:r w:rsidR="008D6D5D" w:rsidRPr="00305581">
              <w:rPr>
                <w:color w:val="auto"/>
                <w:lang w:val="vi-VN"/>
              </w:rPr>
              <w:t xml:space="preserve">đến năm 2030 tỉnh Thái Nguyên cần đạt 508.294 người tham gia BHXH trong đó </w:t>
            </w:r>
            <w:r w:rsidR="00477904" w:rsidRPr="00305581">
              <w:rPr>
                <w:color w:val="auto"/>
                <w:lang w:val="vi-VN"/>
              </w:rPr>
              <w:t>tối thiểu</w:t>
            </w:r>
            <w:r w:rsidR="008D6D5D" w:rsidRPr="00305581">
              <w:rPr>
                <w:color w:val="auto"/>
                <w:lang w:val="vi-VN"/>
              </w:rPr>
              <w:t xml:space="preserve"> </w:t>
            </w:r>
            <w:r w:rsidR="00477904" w:rsidRPr="00305581">
              <w:rPr>
                <w:color w:val="auto"/>
                <w:lang w:val="vi-VN"/>
              </w:rPr>
              <w:t>61.991 người tham gi BHXH tự nguyện.</w:t>
            </w:r>
          </w:p>
          <w:p w:rsidR="00973139" w:rsidRPr="00305581" w:rsidRDefault="00973139" w:rsidP="00040E96">
            <w:pPr>
              <w:spacing w:before="120" w:after="120" w:line="340" w:lineRule="atLeast"/>
              <w:jc w:val="both"/>
              <w:rPr>
                <w:color w:val="auto"/>
                <w:highlight w:val="yellow"/>
                <w:lang w:val="vi-VN"/>
              </w:rPr>
            </w:pPr>
          </w:p>
        </w:tc>
      </w:tr>
      <w:tr w:rsidR="005477DB" w:rsidRPr="00305581" w:rsidTr="00EF5433">
        <w:trPr>
          <w:jc w:val="center"/>
        </w:trPr>
        <w:tc>
          <w:tcPr>
            <w:tcW w:w="746" w:type="dxa"/>
            <w:shd w:val="clear" w:color="auto" w:fill="auto"/>
            <w:vAlign w:val="center"/>
          </w:tcPr>
          <w:p w:rsidR="005477DB" w:rsidRPr="00305581" w:rsidRDefault="00477904" w:rsidP="00FD628D">
            <w:pPr>
              <w:autoSpaceDE w:val="0"/>
              <w:autoSpaceDN w:val="0"/>
              <w:adjustRightInd w:val="0"/>
              <w:spacing w:before="160" w:after="120" w:line="360" w:lineRule="atLeast"/>
              <w:jc w:val="center"/>
              <w:rPr>
                <w:color w:val="auto"/>
                <w:shd w:val="clear" w:color="auto" w:fill="FFFFFF"/>
              </w:rPr>
            </w:pPr>
            <w:r w:rsidRPr="00305581">
              <w:rPr>
                <w:color w:val="auto"/>
                <w:shd w:val="clear" w:color="auto" w:fill="FFFFFF"/>
              </w:rPr>
              <w:t>7</w:t>
            </w:r>
          </w:p>
        </w:tc>
        <w:tc>
          <w:tcPr>
            <w:tcW w:w="9032" w:type="dxa"/>
            <w:shd w:val="clear" w:color="auto" w:fill="auto"/>
            <w:vAlign w:val="center"/>
          </w:tcPr>
          <w:p w:rsidR="005477DB" w:rsidRPr="00305581" w:rsidRDefault="005477DB" w:rsidP="0050621F">
            <w:pPr>
              <w:autoSpaceDE w:val="0"/>
              <w:autoSpaceDN w:val="0"/>
              <w:adjustRightInd w:val="0"/>
              <w:spacing w:before="160" w:after="120" w:line="360" w:lineRule="atLeast"/>
              <w:jc w:val="both"/>
              <w:rPr>
                <w:color w:val="auto"/>
                <w:shd w:val="clear" w:color="auto" w:fill="FFFFFF"/>
              </w:rPr>
            </w:pPr>
            <w:r w:rsidRPr="00305581">
              <w:rPr>
                <w:color w:val="auto"/>
                <w:lang w:val="vi-VN"/>
              </w:rPr>
              <w:t xml:space="preserve">Nghị quyết số </w:t>
            </w:r>
            <w:r w:rsidR="00F13CA2" w:rsidRPr="00305581">
              <w:rPr>
                <w:color w:val="auto"/>
              </w:rPr>
              <w:t>01</w:t>
            </w:r>
            <w:r w:rsidRPr="00305581">
              <w:rPr>
                <w:color w:val="auto"/>
                <w:lang w:val="vi-VN"/>
              </w:rPr>
              <w:t xml:space="preserve">/2024/NQ-HĐND ngày </w:t>
            </w:r>
            <w:r w:rsidR="00F13CA2" w:rsidRPr="00305581">
              <w:rPr>
                <w:color w:val="auto"/>
              </w:rPr>
              <w:t>27</w:t>
            </w:r>
            <w:r w:rsidRPr="00305581">
              <w:rPr>
                <w:color w:val="auto"/>
                <w:lang w:val="vi-VN"/>
              </w:rPr>
              <w:t xml:space="preserve">/6/2024 của HĐND tỉnh </w:t>
            </w:r>
            <w:bookmarkStart w:id="2" w:name="loai_1_name"/>
            <w:r w:rsidR="00F13CA2" w:rsidRPr="00305581">
              <w:rPr>
                <w:color w:val="auto"/>
              </w:rPr>
              <w:t>Thái Nguyên</w:t>
            </w:r>
            <w:r w:rsidRPr="00305581">
              <w:rPr>
                <w:color w:val="auto"/>
                <w:lang w:val="vi-VN"/>
              </w:rPr>
              <w:t xml:space="preserve"> </w:t>
            </w:r>
            <w:r w:rsidRPr="00305581">
              <w:rPr>
                <w:color w:val="auto"/>
                <w:shd w:val="clear" w:color="auto" w:fill="FFFFFF"/>
                <w:lang w:val="vi-VN"/>
              </w:rPr>
              <w:t>quy định tiêu chí thành lập và tiêu chí số lượ</w:t>
            </w:r>
            <w:r w:rsidR="00C464E6" w:rsidRPr="00305581">
              <w:rPr>
                <w:color w:val="auto"/>
                <w:shd w:val="clear" w:color="auto" w:fill="FFFFFF"/>
                <w:lang w:val="vi-VN"/>
              </w:rPr>
              <w:t>ng thành viên T</w:t>
            </w:r>
            <w:r w:rsidRPr="00305581">
              <w:rPr>
                <w:color w:val="auto"/>
                <w:shd w:val="clear" w:color="auto" w:fill="FFFFFF"/>
                <w:lang w:val="vi-VN"/>
              </w:rPr>
              <w:t xml:space="preserve">ổ bảo vệ an ninh, trật tự; </w:t>
            </w:r>
            <w:r w:rsidR="00F13CA2" w:rsidRPr="00305581">
              <w:rPr>
                <w:color w:val="auto"/>
                <w:shd w:val="clear" w:color="auto" w:fill="FFFFFF"/>
              </w:rPr>
              <w:t>mức hỗ trợ, mức bồi dưỡng, mức trợ cấp và các mức chi khác cho lực lượng tham gia bảo vệ an ninh, trật tự ở cơ sở trên địa bàn tỉnh Thái Nguyên</w:t>
            </w:r>
            <w:bookmarkEnd w:id="2"/>
          </w:p>
        </w:tc>
        <w:tc>
          <w:tcPr>
            <w:tcW w:w="5072" w:type="dxa"/>
            <w:shd w:val="clear" w:color="auto" w:fill="auto"/>
            <w:vAlign w:val="center"/>
          </w:tcPr>
          <w:p w:rsidR="005477DB" w:rsidRPr="00305581" w:rsidRDefault="00713EF8" w:rsidP="00F1600E">
            <w:pPr>
              <w:autoSpaceDE w:val="0"/>
              <w:autoSpaceDN w:val="0"/>
              <w:adjustRightInd w:val="0"/>
              <w:spacing w:before="160" w:after="120" w:line="360" w:lineRule="atLeast"/>
              <w:jc w:val="both"/>
              <w:rPr>
                <w:color w:val="auto"/>
                <w:shd w:val="clear" w:color="auto" w:fill="FFFFFF"/>
                <w:lang w:val="vi-VN"/>
              </w:rPr>
            </w:pPr>
            <w:r w:rsidRPr="00305581">
              <w:rPr>
                <w:color w:val="auto"/>
                <w:shd w:val="clear" w:color="auto" w:fill="FFFFFF"/>
              </w:rPr>
              <w:t>Ngoài mức hỗ trợ đóng bảo hiểm xã hội tự nguyện hằng tháng theo quy định tại </w:t>
            </w:r>
            <w:bookmarkStart w:id="3" w:name="dc_1"/>
            <w:r w:rsidRPr="00305581">
              <w:rPr>
                <w:color w:val="auto"/>
                <w:shd w:val="clear" w:color="auto" w:fill="FFFFFF"/>
              </w:rPr>
              <w:t>Điều 14 Nghị định số 134/2015/NĐ-CP</w:t>
            </w:r>
            <w:bookmarkEnd w:id="3"/>
            <w:r w:rsidRPr="00305581">
              <w:rPr>
                <w:color w:val="auto"/>
                <w:shd w:val="clear" w:color="auto" w:fill="FFFFFF"/>
              </w:rPr>
              <w:t> ngày 29 tháng 12 năm 2015 của Chính phủ quy định chi tiết một số điều của Luật Bảo hiểm xã hội về bảo hiểm xã hội tự nguyện, người tham gia lực lượng bảo vệ an ninh, trật tự ở cơ sở khi tham gia bảo hiểm xã hội tự nguyện thì được hỗ trợ 15% mức đóng bảo hiểm xã hội tự nguyện hằng tháng theo mức chuẩn hộ nghèo của khu vực nông thôn.</w:t>
            </w:r>
          </w:p>
        </w:tc>
      </w:tr>
    </w:tbl>
    <w:p w:rsidR="0050621F" w:rsidRPr="00305581" w:rsidRDefault="0050621F" w:rsidP="0050621F">
      <w:pPr>
        <w:ind w:firstLine="720"/>
        <w:rPr>
          <w:color w:val="auto"/>
          <w:lang w:val="de-DE"/>
        </w:rPr>
      </w:pPr>
    </w:p>
    <w:p w:rsidR="00BA0391" w:rsidRPr="00305581" w:rsidRDefault="00BA0391" w:rsidP="0050621F">
      <w:pPr>
        <w:ind w:firstLine="720"/>
        <w:rPr>
          <w:b/>
          <w:color w:val="auto"/>
          <w:shd w:val="clear" w:color="auto" w:fill="FFFFFF"/>
          <w:lang w:val="vi-VN"/>
        </w:rPr>
      </w:pPr>
      <w:r w:rsidRPr="00305581">
        <w:rPr>
          <w:b/>
          <w:color w:val="auto"/>
          <w:shd w:val="clear" w:color="auto" w:fill="FFFFFF"/>
          <w:lang w:val="vi-VN"/>
        </w:rPr>
        <w:t>2. Văn bản quy phạm pháp luật có liên quan đến dự thảo Nghị quyết</w:t>
      </w:r>
      <w:r w:rsidR="0005095E" w:rsidRPr="00305581">
        <w:rPr>
          <w:b/>
          <w:color w:val="auto"/>
          <w:shd w:val="clear" w:color="auto" w:fill="FFFFFF"/>
          <w:lang w:val="vi-VN"/>
        </w:rPr>
        <w:t>:</w:t>
      </w:r>
    </w:p>
    <w:p w:rsidR="0050621F" w:rsidRPr="00305581" w:rsidRDefault="0050621F" w:rsidP="0050621F">
      <w:pPr>
        <w:ind w:firstLine="720"/>
        <w:rPr>
          <w:color w:val="auto"/>
          <w:lang w:val="de-DE"/>
        </w:rPr>
      </w:pPr>
    </w:p>
    <w:tbl>
      <w:tblPr>
        <w:tblW w:w="14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942"/>
        <w:gridCol w:w="9162"/>
      </w:tblGrid>
      <w:tr w:rsidR="00305581" w:rsidRPr="00EC770B" w:rsidTr="0005095E">
        <w:trPr>
          <w:jc w:val="center"/>
        </w:trPr>
        <w:tc>
          <w:tcPr>
            <w:tcW w:w="675" w:type="dxa"/>
            <w:shd w:val="clear" w:color="auto" w:fill="auto"/>
          </w:tcPr>
          <w:p w:rsidR="0005095E" w:rsidRPr="00305581" w:rsidRDefault="00973139" w:rsidP="00A30A34">
            <w:pPr>
              <w:autoSpaceDE w:val="0"/>
              <w:autoSpaceDN w:val="0"/>
              <w:adjustRightInd w:val="0"/>
              <w:spacing w:before="160" w:after="120" w:line="360" w:lineRule="atLeast"/>
              <w:jc w:val="both"/>
              <w:rPr>
                <w:b/>
                <w:color w:val="auto"/>
                <w:shd w:val="clear" w:color="auto" w:fill="FFFFFF"/>
                <w:lang w:val="vi-VN"/>
              </w:rPr>
            </w:pPr>
            <w:r w:rsidRPr="00305581">
              <w:rPr>
                <w:b/>
                <w:color w:val="auto"/>
                <w:shd w:val="clear" w:color="auto" w:fill="FFFFFF"/>
                <w:lang w:val="vi-VN"/>
              </w:rPr>
              <w:t>STT</w:t>
            </w:r>
          </w:p>
        </w:tc>
        <w:tc>
          <w:tcPr>
            <w:tcW w:w="4962" w:type="dxa"/>
            <w:shd w:val="clear" w:color="auto" w:fill="auto"/>
          </w:tcPr>
          <w:p w:rsidR="0005095E" w:rsidRPr="00305581" w:rsidRDefault="0005095E" w:rsidP="00A30A34">
            <w:pPr>
              <w:autoSpaceDE w:val="0"/>
              <w:autoSpaceDN w:val="0"/>
              <w:adjustRightInd w:val="0"/>
              <w:spacing w:before="160" w:after="120" w:line="360" w:lineRule="atLeast"/>
              <w:jc w:val="center"/>
              <w:rPr>
                <w:b/>
                <w:color w:val="auto"/>
                <w:shd w:val="clear" w:color="auto" w:fill="FFFFFF"/>
                <w:lang w:val="vi-VN"/>
              </w:rPr>
            </w:pPr>
            <w:r w:rsidRPr="00305581">
              <w:rPr>
                <w:b/>
                <w:color w:val="auto"/>
                <w:shd w:val="clear" w:color="auto" w:fill="FFFFFF"/>
                <w:lang w:val="vi-VN"/>
              </w:rPr>
              <w:t>Văn bản quy phạm pháp luật</w:t>
            </w:r>
          </w:p>
        </w:tc>
        <w:tc>
          <w:tcPr>
            <w:tcW w:w="9213" w:type="dxa"/>
            <w:shd w:val="clear" w:color="auto" w:fill="auto"/>
          </w:tcPr>
          <w:p w:rsidR="0005095E" w:rsidRPr="00305581" w:rsidRDefault="0005095E" w:rsidP="00A30A34">
            <w:pPr>
              <w:autoSpaceDE w:val="0"/>
              <w:autoSpaceDN w:val="0"/>
              <w:adjustRightInd w:val="0"/>
              <w:spacing w:before="160" w:after="120" w:line="360" w:lineRule="atLeast"/>
              <w:jc w:val="center"/>
              <w:rPr>
                <w:b/>
                <w:color w:val="auto"/>
                <w:shd w:val="clear" w:color="auto" w:fill="FFFFFF"/>
                <w:lang w:val="vi-VN"/>
              </w:rPr>
            </w:pPr>
            <w:r w:rsidRPr="00305581">
              <w:rPr>
                <w:b/>
                <w:color w:val="auto"/>
                <w:shd w:val="clear" w:color="auto" w:fill="FFFFFF"/>
                <w:lang w:val="vi-VN"/>
              </w:rPr>
              <w:t>Chính sách, quy định liên quan đến dự thảo Nghị quyết</w:t>
            </w:r>
          </w:p>
        </w:tc>
      </w:tr>
      <w:tr w:rsidR="00305581" w:rsidRPr="00EC770B" w:rsidTr="00EF5433">
        <w:trPr>
          <w:jc w:val="center"/>
        </w:trPr>
        <w:tc>
          <w:tcPr>
            <w:tcW w:w="675" w:type="dxa"/>
            <w:shd w:val="clear" w:color="auto" w:fill="auto"/>
            <w:vAlign w:val="center"/>
          </w:tcPr>
          <w:p w:rsidR="0005095E" w:rsidRPr="00305581" w:rsidRDefault="00973139" w:rsidP="00973139">
            <w:pPr>
              <w:autoSpaceDE w:val="0"/>
              <w:autoSpaceDN w:val="0"/>
              <w:adjustRightInd w:val="0"/>
              <w:spacing w:before="160" w:after="120" w:line="360" w:lineRule="atLeast"/>
              <w:jc w:val="center"/>
              <w:rPr>
                <w:color w:val="auto"/>
                <w:shd w:val="clear" w:color="auto" w:fill="FFFFFF"/>
                <w:lang w:val="vi-VN"/>
              </w:rPr>
            </w:pPr>
            <w:r w:rsidRPr="00305581">
              <w:rPr>
                <w:color w:val="auto"/>
                <w:shd w:val="clear" w:color="auto" w:fill="FFFFFF"/>
                <w:lang w:val="vi-VN"/>
              </w:rPr>
              <w:lastRenderedPageBreak/>
              <w:t>1</w:t>
            </w:r>
          </w:p>
        </w:tc>
        <w:tc>
          <w:tcPr>
            <w:tcW w:w="4962" w:type="dxa"/>
            <w:shd w:val="clear" w:color="auto" w:fill="auto"/>
            <w:vAlign w:val="center"/>
          </w:tcPr>
          <w:p w:rsidR="00973139" w:rsidRPr="00305581" w:rsidRDefault="0005095E" w:rsidP="00EF5433">
            <w:pPr>
              <w:autoSpaceDE w:val="0"/>
              <w:autoSpaceDN w:val="0"/>
              <w:adjustRightInd w:val="0"/>
              <w:jc w:val="both"/>
              <w:rPr>
                <w:rFonts w:eastAsia="SimSun"/>
                <w:color w:val="auto"/>
                <w:lang w:val="vi-VN"/>
              </w:rPr>
            </w:pPr>
            <w:r w:rsidRPr="00305581">
              <w:rPr>
                <w:rFonts w:eastAsia="SimSun"/>
                <w:color w:val="auto"/>
                <w:lang w:val="nl-NL"/>
              </w:rPr>
              <w:t xml:space="preserve">Luật </w:t>
            </w:r>
            <w:r w:rsidRPr="00305581">
              <w:rPr>
                <w:color w:val="auto"/>
                <w:lang w:val="vi-VN"/>
              </w:rPr>
              <w:t>Bảo hiểm xã hội</w:t>
            </w:r>
            <w:r w:rsidRPr="00305581">
              <w:rPr>
                <w:color w:val="auto"/>
                <w:lang w:val="nl-NL"/>
              </w:rPr>
              <w:t xml:space="preserve"> </w:t>
            </w:r>
            <w:r w:rsidRPr="00305581">
              <w:rPr>
                <w:rFonts w:eastAsia="SimSun"/>
                <w:color w:val="auto"/>
                <w:lang w:val="nl-NL"/>
              </w:rPr>
              <w:t>năm 2024</w:t>
            </w:r>
          </w:p>
          <w:p w:rsidR="0005095E" w:rsidRPr="00305581" w:rsidRDefault="00973139" w:rsidP="00EF5433">
            <w:pPr>
              <w:autoSpaceDE w:val="0"/>
              <w:autoSpaceDN w:val="0"/>
              <w:adjustRightInd w:val="0"/>
              <w:jc w:val="both"/>
              <w:rPr>
                <w:b/>
                <w:color w:val="auto"/>
                <w:shd w:val="clear" w:color="auto" w:fill="FFFFFF"/>
                <w:lang w:val="vi-VN"/>
              </w:rPr>
            </w:pPr>
            <w:r w:rsidRPr="00305581">
              <w:rPr>
                <w:rFonts w:eastAsia="SimSun"/>
                <w:color w:val="auto"/>
                <w:lang w:val="vi-VN"/>
              </w:rPr>
              <w:t>(K</w:t>
            </w:r>
            <w:r w:rsidRPr="00305581">
              <w:rPr>
                <w:rFonts w:eastAsia="SimSun"/>
                <w:color w:val="auto"/>
                <w:lang w:val="nl-NL"/>
              </w:rPr>
              <w:t>hoản 6</w:t>
            </w:r>
            <w:r w:rsidRPr="00305581">
              <w:rPr>
                <w:rFonts w:eastAsia="SimSun"/>
                <w:color w:val="auto"/>
                <w:lang w:val="vi-VN"/>
              </w:rPr>
              <w:t>,</w:t>
            </w:r>
            <w:r w:rsidRPr="00305581">
              <w:rPr>
                <w:rFonts w:eastAsia="SimSun"/>
                <w:color w:val="auto"/>
                <w:lang w:val="nl-NL"/>
              </w:rPr>
              <w:t xml:space="preserve"> Điều 6</w:t>
            </w:r>
            <w:r w:rsidRPr="00305581">
              <w:rPr>
                <w:rFonts w:eastAsia="SimSun"/>
                <w:color w:val="auto"/>
                <w:lang w:val="vi-VN"/>
              </w:rPr>
              <w:t>)</w:t>
            </w:r>
          </w:p>
        </w:tc>
        <w:tc>
          <w:tcPr>
            <w:tcW w:w="9213" w:type="dxa"/>
            <w:shd w:val="clear" w:color="auto" w:fill="auto"/>
            <w:vAlign w:val="center"/>
          </w:tcPr>
          <w:p w:rsidR="0005095E" w:rsidRPr="00305581" w:rsidRDefault="0005095E" w:rsidP="00973139">
            <w:pPr>
              <w:autoSpaceDE w:val="0"/>
              <w:autoSpaceDN w:val="0"/>
              <w:adjustRightInd w:val="0"/>
              <w:spacing w:before="160" w:after="120" w:line="360" w:lineRule="atLeast"/>
              <w:jc w:val="both"/>
              <w:rPr>
                <w:b/>
                <w:color w:val="auto"/>
                <w:shd w:val="clear" w:color="auto" w:fill="FFFFFF"/>
                <w:lang w:val="vi-VN"/>
              </w:rPr>
            </w:pPr>
            <w:r w:rsidRPr="00305581">
              <w:rPr>
                <w:color w:val="auto"/>
                <w:lang w:val="es-ES"/>
              </w:rPr>
              <w:t xml:space="preserve">Khuyến khích các địa phương tùy theo điều kiện kinh tế - xã hội, khả năng cân đối ngân sách, kết hợp huy động các nguồn lực xã hội </w:t>
            </w:r>
            <w:r w:rsidRPr="00305581">
              <w:rPr>
                <w:bCs/>
                <w:color w:val="auto"/>
                <w:lang w:val="es-ES"/>
              </w:rPr>
              <w:t>hỗ trợ thêm tiền đóng bảo hiểm xã hội cho người tham gia bảo hiểm xã hội tự nguyện</w:t>
            </w:r>
            <w:r w:rsidRPr="00305581">
              <w:rPr>
                <w:color w:val="auto"/>
                <w:lang w:val="es-ES"/>
              </w:rPr>
              <w:t xml:space="preserve"> và hỗ trợ thêm cho người hưởng trợ cấp hưu trí xã hội</w:t>
            </w:r>
            <w:r w:rsidR="00F1600E" w:rsidRPr="00305581">
              <w:rPr>
                <w:color w:val="auto"/>
                <w:lang w:val="vi-VN"/>
              </w:rPr>
              <w:t>.</w:t>
            </w:r>
          </w:p>
        </w:tc>
      </w:tr>
      <w:tr w:rsidR="00305581" w:rsidRPr="00EC770B" w:rsidTr="00EF5433">
        <w:trPr>
          <w:jc w:val="center"/>
        </w:trPr>
        <w:tc>
          <w:tcPr>
            <w:tcW w:w="675" w:type="dxa"/>
            <w:shd w:val="clear" w:color="auto" w:fill="auto"/>
            <w:vAlign w:val="center"/>
          </w:tcPr>
          <w:p w:rsidR="0005095E" w:rsidRPr="00305581" w:rsidRDefault="00973139" w:rsidP="00973139">
            <w:pPr>
              <w:autoSpaceDE w:val="0"/>
              <w:autoSpaceDN w:val="0"/>
              <w:adjustRightInd w:val="0"/>
              <w:spacing w:before="160" w:after="120" w:line="360" w:lineRule="atLeast"/>
              <w:jc w:val="center"/>
              <w:rPr>
                <w:color w:val="auto"/>
                <w:shd w:val="clear" w:color="auto" w:fill="FFFFFF"/>
                <w:lang w:val="vi-VN"/>
              </w:rPr>
            </w:pPr>
            <w:r w:rsidRPr="00305581">
              <w:rPr>
                <w:color w:val="auto"/>
                <w:shd w:val="clear" w:color="auto" w:fill="FFFFFF"/>
                <w:lang w:val="vi-VN"/>
              </w:rPr>
              <w:t>2</w:t>
            </w:r>
          </w:p>
        </w:tc>
        <w:tc>
          <w:tcPr>
            <w:tcW w:w="4962" w:type="dxa"/>
            <w:shd w:val="clear" w:color="auto" w:fill="auto"/>
            <w:vAlign w:val="center"/>
          </w:tcPr>
          <w:p w:rsidR="0005095E" w:rsidRPr="00305581" w:rsidRDefault="0005095E" w:rsidP="00EF5433">
            <w:pPr>
              <w:autoSpaceDE w:val="0"/>
              <w:autoSpaceDN w:val="0"/>
              <w:adjustRightInd w:val="0"/>
              <w:spacing w:before="160" w:after="120" w:line="360" w:lineRule="atLeast"/>
              <w:jc w:val="both"/>
              <w:rPr>
                <w:rFonts w:eastAsia="SimSun"/>
                <w:color w:val="auto"/>
                <w:lang w:val="vi-VN"/>
              </w:rPr>
            </w:pPr>
            <w:r w:rsidRPr="00305581">
              <w:rPr>
                <w:rFonts w:eastAsia="SimSun"/>
                <w:color w:val="auto"/>
                <w:lang w:val="nl-NL"/>
              </w:rPr>
              <w:t xml:space="preserve">Nghị định số 159/2025/NĐ-CP ngày 25/6/2025 của Chính phủ quy định chi tiết và hướng dẫn thi hành một số điều của Luật </w:t>
            </w:r>
            <w:r w:rsidRPr="00305581">
              <w:rPr>
                <w:color w:val="auto"/>
                <w:lang w:val="vi-VN"/>
              </w:rPr>
              <w:t>Bảo hiểm xã hội</w:t>
            </w:r>
            <w:r w:rsidRPr="00305581">
              <w:rPr>
                <w:color w:val="auto"/>
                <w:lang w:val="es-ES"/>
              </w:rPr>
              <w:t xml:space="preserve"> </w:t>
            </w:r>
            <w:r w:rsidRPr="00305581">
              <w:rPr>
                <w:rFonts w:eastAsia="SimSun"/>
                <w:color w:val="auto"/>
                <w:lang w:val="nl-NL"/>
              </w:rPr>
              <w:t xml:space="preserve">về </w:t>
            </w:r>
            <w:r w:rsidRPr="00305581">
              <w:rPr>
                <w:color w:val="auto"/>
                <w:lang w:val="vi-VN"/>
              </w:rPr>
              <w:t>bảo hiểm xã hội</w:t>
            </w:r>
            <w:r w:rsidRPr="00305581">
              <w:rPr>
                <w:color w:val="auto"/>
                <w:lang w:val="es-ES"/>
              </w:rPr>
              <w:t xml:space="preserve"> </w:t>
            </w:r>
            <w:r w:rsidRPr="00305581">
              <w:rPr>
                <w:rFonts w:eastAsia="SimSun"/>
                <w:color w:val="auto"/>
                <w:lang w:val="nl-NL"/>
              </w:rPr>
              <w:t>tự nguyện</w:t>
            </w:r>
            <w:r w:rsidR="00973139" w:rsidRPr="00305581">
              <w:rPr>
                <w:rFonts w:eastAsia="SimSun"/>
                <w:color w:val="auto"/>
                <w:lang w:val="vi-VN"/>
              </w:rPr>
              <w:t xml:space="preserve"> (K</w:t>
            </w:r>
            <w:r w:rsidR="00973139" w:rsidRPr="00305581">
              <w:rPr>
                <w:rFonts w:eastAsia="SimSun"/>
                <w:color w:val="auto"/>
                <w:lang w:val="nl-NL"/>
              </w:rPr>
              <w:t>hoản 1</w:t>
            </w:r>
            <w:r w:rsidR="00973139" w:rsidRPr="00305581">
              <w:rPr>
                <w:rFonts w:eastAsia="SimSun"/>
                <w:color w:val="auto"/>
                <w:lang w:val="vi-VN"/>
              </w:rPr>
              <w:t>,</w:t>
            </w:r>
            <w:r w:rsidR="00973139" w:rsidRPr="00305581">
              <w:rPr>
                <w:rFonts w:eastAsia="SimSun"/>
                <w:color w:val="auto"/>
                <w:lang w:val="nl-NL"/>
              </w:rPr>
              <w:t xml:space="preserve"> Điều 5</w:t>
            </w:r>
            <w:r w:rsidR="00973139" w:rsidRPr="00305581">
              <w:rPr>
                <w:rFonts w:eastAsia="SimSun"/>
                <w:color w:val="auto"/>
                <w:lang w:val="vi-VN"/>
              </w:rPr>
              <w:t>)</w:t>
            </w:r>
          </w:p>
        </w:tc>
        <w:tc>
          <w:tcPr>
            <w:tcW w:w="9213" w:type="dxa"/>
            <w:shd w:val="clear" w:color="auto" w:fill="auto"/>
            <w:vAlign w:val="center"/>
          </w:tcPr>
          <w:p w:rsidR="0005095E" w:rsidRPr="00305581" w:rsidRDefault="0005095E" w:rsidP="00973139">
            <w:pPr>
              <w:autoSpaceDE w:val="0"/>
              <w:autoSpaceDN w:val="0"/>
              <w:adjustRightInd w:val="0"/>
              <w:spacing w:before="160" w:after="120" w:line="360" w:lineRule="atLeast"/>
              <w:jc w:val="both"/>
              <w:rPr>
                <w:color w:val="auto"/>
                <w:lang w:val="vi-VN"/>
              </w:rPr>
            </w:pPr>
            <w:r w:rsidRPr="00305581">
              <w:rPr>
                <w:color w:val="auto"/>
                <w:lang w:val="nl-NL"/>
              </w:rPr>
              <w:t xml:space="preserve">Tùy theo điều kiện kinh tế - xã hội, khả năng cân đối ngân sách, kết hợp huy động các nguồn lực xã hội, </w:t>
            </w:r>
            <w:r w:rsidRPr="00305581">
              <w:rPr>
                <w:bCs/>
                <w:color w:val="auto"/>
                <w:lang w:val="nl-NL"/>
              </w:rPr>
              <w:t>Ủy ban nhân dân các tỉnh, thành phố trực thuộc trung ương trình Hội đồng nhân dân cùng cấp</w:t>
            </w:r>
            <w:r w:rsidRPr="00305581">
              <w:rPr>
                <w:color w:val="auto"/>
                <w:lang w:val="nl-NL"/>
              </w:rPr>
              <w:t xml:space="preserve"> quyết định hỗ trợ tiền đóng bảo hiểm xã hội cho người tham gia bảo hiểm xã hội tự nguyện trên địa bàn ngoài mức hỗ trợ quy định tại Nghị định này</w:t>
            </w:r>
            <w:r w:rsidR="00F1600E" w:rsidRPr="00305581">
              <w:rPr>
                <w:color w:val="auto"/>
                <w:lang w:val="vi-VN"/>
              </w:rPr>
              <w:t>.</w:t>
            </w:r>
          </w:p>
        </w:tc>
      </w:tr>
    </w:tbl>
    <w:p w:rsidR="005D41E5" w:rsidRPr="00305581" w:rsidRDefault="00BA0391" w:rsidP="0005095E">
      <w:pPr>
        <w:autoSpaceDE w:val="0"/>
        <w:autoSpaceDN w:val="0"/>
        <w:adjustRightInd w:val="0"/>
        <w:spacing w:before="160" w:after="120" w:line="360" w:lineRule="atLeast"/>
        <w:ind w:firstLine="720"/>
        <w:jc w:val="both"/>
        <w:rPr>
          <w:color w:val="auto"/>
          <w:shd w:val="clear" w:color="auto" w:fill="FFFFFF"/>
          <w:lang w:val="vi-VN"/>
        </w:rPr>
      </w:pPr>
      <w:r w:rsidRPr="00305581">
        <w:rPr>
          <w:b/>
          <w:color w:val="auto"/>
          <w:shd w:val="clear" w:color="auto" w:fill="FFFFFF"/>
          <w:lang w:val="vi-VN"/>
        </w:rPr>
        <w:t>3. Điều ước quốc tế có liên quan đến dự thảo Nghị quyết</w:t>
      </w:r>
      <w:r w:rsidR="0005095E" w:rsidRPr="00305581">
        <w:rPr>
          <w:b/>
          <w:color w:val="auto"/>
          <w:shd w:val="clear" w:color="auto" w:fill="FFFFFF"/>
          <w:lang w:val="vi-VN"/>
        </w:rPr>
        <w:t>:</w:t>
      </w:r>
      <w:r w:rsidR="0005095E" w:rsidRPr="00305581">
        <w:rPr>
          <w:color w:val="auto"/>
          <w:shd w:val="clear" w:color="auto" w:fill="FFFFFF"/>
          <w:lang w:val="vi-VN"/>
        </w:rPr>
        <w:t xml:space="preserve"> </w:t>
      </w:r>
      <w:r w:rsidRPr="00305581">
        <w:rPr>
          <w:color w:val="auto"/>
          <w:shd w:val="clear" w:color="auto" w:fill="FFFFFF"/>
          <w:lang w:val="vi-VN"/>
        </w:rPr>
        <w:t>Không có</w:t>
      </w:r>
      <w:r w:rsidR="0005095E" w:rsidRPr="00305581">
        <w:rPr>
          <w:color w:val="auto"/>
          <w:shd w:val="clear" w:color="auto" w:fill="FFFFFF"/>
          <w:lang w:val="vi-VN"/>
        </w:rPr>
        <w:t>.</w:t>
      </w:r>
    </w:p>
    <w:p w:rsidR="00BA0391" w:rsidRPr="00305581" w:rsidRDefault="00BA0391" w:rsidP="00981F56">
      <w:pPr>
        <w:spacing w:before="120" w:after="120" w:line="340" w:lineRule="atLeast"/>
        <w:jc w:val="both"/>
        <w:rPr>
          <w:color w:val="auto"/>
          <w:lang w:val="vi-VN"/>
        </w:rPr>
      </w:pPr>
    </w:p>
    <w:p w:rsidR="00BA0391" w:rsidRPr="00305581" w:rsidRDefault="00BA0391" w:rsidP="0036178E">
      <w:pPr>
        <w:autoSpaceDE w:val="0"/>
        <w:autoSpaceDN w:val="0"/>
        <w:adjustRightInd w:val="0"/>
        <w:spacing w:before="160" w:after="120" w:line="360" w:lineRule="atLeast"/>
        <w:ind w:firstLine="720"/>
        <w:jc w:val="both"/>
        <w:rPr>
          <w:color w:val="auto"/>
          <w:shd w:val="clear" w:color="auto" w:fill="FFFFFF"/>
          <w:lang w:val="vi-VN"/>
        </w:rPr>
      </w:pPr>
    </w:p>
    <w:p w:rsidR="005C2319" w:rsidRPr="00305581" w:rsidRDefault="005C2319" w:rsidP="00133C35">
      <w:pPr>
        <w:rPr>
          <w:color w:val="auto"/>
          <w:sz w:val="2"/>
          <w:lang w:val="de-DE"/>
        </w:rPr>
      </w:pPr>
    </w:p>
    <w:p w:rsidR="003B113E" w:rsidRPr="00305581" w:rsidRDefault="003B113E" w:rsidP="00133C35">
      <w:pPr>
        <w:rPr>
          <w:color w:val="auto"/>
          <w:sz w:val="2"/>
          <w:lang w:val="de-DE"/>
        </w:rPr>
      </w:pPr>
    </w:p>
    <w:sectPr w:rsidR="003B113E" w:rsidRPr="00305581" w:rsidSect="0098219E">
      <w:pgSz w:w="16840" w:h="11907" w:orient="landscape" w:code="9"/>
      <w:pgMar w:top="1276"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44" w:rsidRDefault="00926944">
      <w:r>
        <w:separator/>
      </w:r>
    </w:p>
  </w:endnote>
  <w:endnote w:type="continuationSeparator" w:id="0">
    <w:p w:rsidR="00926944" w:rsidRDefault="0092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E2B" w:rsidRDefault="006F6E2B" w:rsidP="00767D6A">
    <w:pPr>
      <w:pStyle w:val="Chntrang"/>
      <w:framePr w:wrap="around" w:vAnchor="text" w:hAnchor="margin" w:xAlign="right" w:y="1"/>
      <w:rPr>
        <w:rStyle w:val="Shiutrang"/>
      </w:rPr>
    </w:pPr>
    <w:r>
      <w:rPr>
        <w:rStyle w:val="Shiutrang"/>
      </w:rPr>
      <w:fldChar w:fldCharType="begin"/>
    </w:r>
    <w:r>
      <w:rPr>
        <w:rStyle w:val="Shiutrang"/>
      </w:rPr>
      <w:instrText xml:space="preserve">PAGE  </w:instrText>
    </w:r>
    <w:r>
      <w:rPr>
        <w:rStyle w:val="Shiutrang"/>
      </w:rPr>
      <w:fldChar w:fldCharType="end"/>
    </w:r>
  </w:p>
  <w:p w:rsidR="006F6E2B" w:rsidRDefault="006F6E2B" w:rsidP="00E459F9">
    <w:pPr>
      <w:pStyle w:val="Chntrang"/>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E2B" w:rsidRDefault="006F6E2B" w:rsidP="00E459F9">
    <w:pPr>
      <w:pStyle w:val="Chntrang"/>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44" w:rsidRDefault="00926944">
      <w:r>
        <w:separator/>
      </w:r>
    </w:p>
  </w:footnote>
  <w:footnote w:type="continuationSeparator" w:id="0">
    <w:p w:rsidR="00926944" w:rsidRDefault="00926944">
      <w:r>
        <w:continuationSeparator/>
      </w:r>
    </w:p>
  </w:footnote>
  <w:footnote w:id="1">
    <w:p w:rsidR="006F6E2B" w:rsidRPr="005B7916" w:rsidRDefault="006F6E2B" w:rsidP="008F67F2">
      <w:pPr>
        <w:pStyle w:val="Vnbanccch"/>
        <w:jc w:val="both"/>
        <w:rPr>
          <w:rFonts w:ascii="Times New Roman" w:hAnsi="Times New Roman"/>
          <w:lang w:val="en-US"/>
        </w:rPr>
      </w:pPr>
      <w:r w:rsidRPr="005B7916">
        <w:rPr>
          <w:rStyle w:val="Thamchiuccch"/>
          <w:rFonts w:ascii="Times New Roman" w:hAnsi="Times New Roman"/>
        </w:rPr>
        <w:footnoteRef/>
      </w:r>
      <w:r w:rsidRPr="005B7916">
        <w:rPr>
          <w:rFonts w:ascii="Times New Roman" w:hAnsi="Times New Roman"/>
        </w:rPr>
        <w:t xml:space="preserve"> </w:t>
      </w:r>
      <w:r w:rsidRPr="005B7916">
        <w:rPr>
          <w:rFonts w:ascii="Times New Roman" w:hAnsi="Times New Roman"/>
          <w:lang w:val="vi-VN"/>
        </w:rPr>
        <w:t>Nghị quyết số 28-NQ/TW, ngày 23/5/2018 của Hội nghị lần thứ bảy Ban Chấp hành Trung ương khóa XII về cải cách chính sách bảo hiểm xã hội; Nghị quyết số 125/NQ-CP ngày 08/10/2018 của Chính phủ ban hành Chương trình hành động của Chính phủ thực hiện Nghị quyết số 28-NQ/TW, ngày 23/5/2018 của Hội nghị lần thứ bảy Ban Chấp hành Trung ương khóa XII về cải cách chính sách bảo hiểm xã hội; Nghị quyết số 42-NQ/TW, ngày 24/11/2023 của Ban Chấp hành Trung ương Đảng khóa XIII về tiếp tục đổi mới, nâng cao chất lượng chính sách xã hội, đáp ứng yêu cầu sự nghiệp xây dựng và bảo vệ Tổ quốc tron</w:t>
      </w:r>
      <w:r w:rsidR="0093780D" w:rsidRPr="005B7916">
        <w:rPr>
          <w:rFonts w:ascii="Times New Roman" w:hAnsi="Times New Roman"/>
          <w:lang w:val="vi-VN"/>
        </w:rPr>
        <w:t xml:space="preserve">g giai đoạn mới; Nghị quyết số </w:t>
      </w:r>
      <w:r w:rsidR="0093780D" w:rsidRPr="005B7916">
        <w:rPr>
          <w:rFonts w:ascii="Times New Roman" w:hAnsi="Times New Roman"/>
          <w:lang w:val="en-US"/>
        </w:rPr>
        <w:t>403</w:t>
      </w:r>
      <w:r w:rsidRPr="005B7916">
        <w:rPr>
          <w:rFonts w:ascii="Times New Roman" w:hAnsi="Times New Roman"/>
          <w:lang w:val="vi-VN"/>
        </w:rPr>
        <w:t xml:space="preserve">/NQ-CP ngày </w:t>
      </w:r>
      <w:r w:rsidR="0093780D" w:rsidRPr="005B7916">
        <w:rPr>
          <w:rFonts w:ascii="Times New Roman" w:hAnsi="Times New Roman"/>
          <w:lang w:val="en-US"/>
        </w:rPr>
        <w:t>10/12/2025</w:t>
      </w:r>
      <w:r w:rsidRPr="005B7916">
        <w:rPr>
          <w:rFonts w:ascii="Times New Roman" w:hAnsi="Times New Roman"/>
          <w:lang w:val="vi-VN"/>
        </w:rPr>
        <w:t xml:space="preserve"> của Chính phủ về việc giao chỉ tiêu phát triển đối tượng tham gia bảo hiểm xã hội</w:t>
      </w:r>
      <w:r w:rsidR="0093780D" w:rsidRPr="005B7916">
        <w:rPr>
          <w:rFonts w:ascii="Times New Roman" w:hAnsi="Times New Roman"/>
          <w:lang w:val="en-US"/>
        </w:rPr>
        <w:t xml:space="preserve"> đến năm 2030</w:t>
      </w:r>
      <w:r w:rsidRPr="005B7916">
        <w:rPr>
          <w:rFonts w:ascii="Times New Roman" w:hAnsi="Times New Roman"/>
          <w:lang w:val="vi-VN"/>
        </w:rPr>
        <w:t>.</w:t>
      </w:r>
    </w:p>
  </w:footnote>
  <w:footnote w:id="2">
    <w:p w:rsidR="006F6E2B" w:rsidRPr="00136C21" w:rsidRDefault="006F6E2B" w:rsidP="008F67F2">
      <w:pPr>
        <w:pStyle w:val="Vnbanccch"/>
        <w:jc w:val="both"/>
        <w:rPr>
          <w:rFonts w:ascii="Times New Roman" w:hAnsi="Times New Roman"/>
          <w:color w:val="FF0000"/>
          <w:lang w:val="vi-VN"/>
        </w:rPr>
      </w:pPr>
      <w:r w:rsidRPr="005B7916">
        <w:rPr>
          <w:rStyle w:val="Thamchiuccch"/>
          <w:rFonts w:ascii="Times New Roman" w:hAnsi="Times New Roman"/>
        </w:rPr>
        <w:footnoteRef/>
      </w:r>
      <w:r w:rsidRPr="005B7916">
        <w:rPr>
          <w:rFonts w:ascii="Times New Roman" w:hAnsi="Times New Roman"/>
        </w:rPr>
        <w:t xml:space="preserve"> </w:t>
      </w:r>
      <w:r w:rsidRPr="005B7916">
        <w:rPr>
          <w:rFonts w:ascii="Times New Roman" w:hAnsi="Times New Roman"/>
          <w:lang w:val="en-US"/>
        </w:rPr>
        <w:t xml:space="preserve">Uỷ ban nhân dân tỉnh </w:t>
      </w:r>
      <w:r w:rsidR="00136C21" w:rsidRPr="005B7916">
        <w:rPr>
          <w:rFonts w:ascii="Times New Roman" w:hAnsi="Times New Roman"/>
          <w:lang w:val="en-US"/>
        </w:rPr>
        <w:t>Thái Nguyên</w:t>
      </w:r>
      <w:r w:rsidRPr="005B7916">
        <w:rPr>
          <w:rFonts w:ascii="Times New Roman" w:hAnsi="Times New Roman"/>
          <w:lang w:val="en-US"/>
        </w:rPr>
        <w:t xml:space="preserve"> ban hành Kế hoạch số </w:t>
      </w:r>
      <w:r w:rsidR="00136C21" w:rsidRPr="005B7916">
        <w:rPr>
          <w:rFonts w:ascii="Times New Roman" w:hAnsi="Times New Roman"/>
          <w:lang w:val="en-US"/>
        </w:rPr>
        <w:t>137</w:t>
      </w:r>
      <w:r w:rsidRPr="005B7916">
        <w:rPr>
          <w:rFonts w:ascii="Times New Roman" w:hAnsi="Times New Roman"/>
          <w:lang w:val="en-US"/>
        </w:rPr>
        <w:t xml:space="preserve">/KH-UBND ngày </w:t>
      </w:r>
      <w:r w:rsidR="00136C21" w:rsidRPr="005B7916">
        <w:rPr>
          <w:rFonts w:ascii="Times New Roman" w:hAnsi="Times New Roman"/>
          <w:lang w:val="en-US"/>
        </w:rPr>
        <w:t>28</w:t>
      </w:r>
      <w:r w:rsidRPr="005B7916">
        <w:rPr>
          <w:rFonts w:ascii="Times New Roman" w:hAnsi="Times New Roman"/>
          <w:lang w:val="en-US"/>
        </w:rPr>
        <w:t>/12/2018 t</w:t>
      </w:r>
      <w:r w:rsidR="00136C21" w:rsidRPr="005B7916">
        <w:rPr>
          <w:rFonts w:ascii="Times New Roman" w:hAnsi="Times New Roman"/>
          <w:lang w:val="en-US"/>
        </w:rPr>
        <w:t>hực hiện Nghị quyết số 28-NQ/TW và NQ 125-NQ/CP ngày 08/10/2018</w:t>
      </w:r>
      <w:r w:rsidRPr="005B7916">
        <w:rPr>
          <w:rFonts w:ascii="Times New Roman" w:hAnsi="Times New Roman"/>
          <w:lang w:val="en-US"/>
        </w:rPr>
        <w:t>.</w:t>
      </w:r>
    </w:p>
  </w:footnote>
  <w:footnote w:id="3">
    <w:p w:rsidR="006F6E2B" w:rsidRPr="00A273C3" w:rsidRDefault="006F6E2B" w:rsidP="008F67F2">
      <w:pPr>
        <w:pStyle w:val="Vnbanccch"/>
        <w:jc w:val="both"/>
      </w:pPr>
      <w:r w:rsidRPr="00A273C3">
        <w:rPr>
          <w:rStyle w:val="Thamchiuccch"/>
        </w:rPr>
        <w:footnoteRef/>
      </w:r>
      <w:r w:rsidRPr="00A273C3">
        <w:rPr>
          <w:rFonts w:ascii="Times New Roman" w:hAnsi="Times New Roman"/>
          <w:iCs/>
          <w:color w:val="000000"/>
          <w:lang w:val="vi-VN"/>
        </w:rPr>
        <w:t>Chưa bao gồm số lao động có hộ khẩu tại tỉnh đi lao động tại tỉnh khác, ở nước ngoài, lực lượng vũ trang</w:t>
      </w:r>
    </w:p>
  </w:footnote>
  <w:footnote w:id="4">
    <w:p w:rsidR="006F6E2B" w:rsidRPr="005B7916" w:rsidRDefault="006F6E2B" w:rsidP="008F67F2">
      <w:pPr>
        <w:pStyle w:val="Vnbanccch"/>
        <w:jc w:val="both"/>
        <w:rPr>
          <w:lang w:val="en-US"/>
        </w:rPr>
      </w:pPr>
      <w:r w:rsidRPr="005B7916">
        <w:rPr>
          <w:rStyle w:val="Thamchiuccch"/>
        </w:rPr>
        <w:footnoteRef/>
      </w:r>
      <w:r w:rsidRPr="005B7916">
        <w:rPr>
          <w:rFonts w:ascii="Times New Roman" w:hAnsi="Times New Roman"/>
        </w:rPr>
        <w:t xml:space="preserve"> </w:t>
      </w:r>
      <w:r w:rsidRPr="005B7916">
        <w:rPr>
          <w:rFonts w:ascii="Times New Roman" w:hAnsi="Times New Roman"/>
          <w:lang w:val="en-US"/>
        </w:rPr>
        <w:t>Nghị quyết số 125/NQ-CP ngày 08/10/2018 của Chính phủ về Chương trình hành động của Chính phủ thực hiện Nghị quyết số 28-NQ/TW  ngày 23/5/2018 của Hội nghị lần thứ bảy Ban Chấp hành Trung ương khóa XII về cải cách chính sách bảo hiểm xã hội, Nghị Quyết số 102/NQ-CP ngày 03/8/2018 và Nghị quyết số 69/NQ-CP ngày 19/5/2022 của Chính phủ về việc giao chỉ tiêu phát triển đối tượng tham gia bảo hiểm xã hội.</w:t>
      </w:r>
    </w:p>
  </w:footnote>
  <w:footnote w:id="5">
    <w:p w:rsidR="006F6E2B" w:rsidRPr="005B7916" w:rsidRDefault="006F6E2B" w:rsidP="008F67F2">
      <w:pPr>
        <w:pStyle w:val="Vnbanccch"/>
        <w:jc w:val="both"/>
        <w:rPr>
          <w:rFonts w:ascii="Times New Roman" w:hAnsi="Times New Roman"/>
          <w:lang w:val="vi-VN"/>
        </w:rPr>
      </w:pPr>
      <w:r w:rsidRPr="005B7916">
        <w:rPr>
          <w:rStyle w:val="Thamchiuccch"/>
        </w:rPr>
        <w:footnoteRef/>
      </w:r>
      <w:r w:rsidRPr="005B7916">
        <w:rPr>
          <w:rFonts w:ascii="Times New Roman" w:hAnsi="Times New Roman"/>
        </w:rPr>
        <w:t xml:space="preserve"> </w:t>
      </w:r>
      <w:r w:rsidRPr="005B7916">
        <w:rPr>
          <w:rFonts w:ascii="Times New Roman" w:hAnsi="Times New Roman"/>
          <w:lang w:val="en-US"/>
        </w:rPr>
        <w:t xml:space="preserve">Uỷ ban nhân dân tỉnh </w:t>
      </w:r>
      <w:r w:rsidR="005C4F38" w:rsidRPr="005B7916">
        <w:rPr>
          <w:rFonts w:ascii="Times New Roman" w:hAnsi="Times New Roman"/>
          <w:lang w:val="en-US"/>
        </w:rPr>
        <w:t>Thái Nguyên</w:t>
      </w:r>
      <w:r w:rsidRPr="005B7916">
        <w:rPr>
          <w:rFonts w:ascii="Times New Roman" w:hAnsi="Times New Roman"/>
          <w:lang w:val="en-US"/>
        </w:rPr>
        <w:t xml:space="preserve"> ban hành Kế hoạch số </w:t>
      </w:r>
      <w:r w:rsidR="005C4F38" w:rsidRPr="005B7916">
        <w:rPr>
          <w:rFonts w:ascii="Times New Roman" w:hAnsi="Times New Roman"/>
          <w:lang w:val="en-US"/>
        </w:rPr>
        <w:t>137</w:t>
      </w:r>
      <w:r w:rsidRPr="005B7916">
        <w:rPr>
          <w:rFonts w:ascii="Times New Roman" w:hAnsi="Times New Roman"/>
          <w:lang w:val="en-US"/>
        </w:rPr>
        <w:t xml:space="preserve">/KH-UBND ngày </w:t>
      </w:r>
      <w:r w:rsidR="005C4F38" w:rsidRPr="005B7916">
        <w:rPr>
          <w:rFonts w:ascii="Times New Roman" w:hAnsi="Times New Roman"/>
          <w:lang w:val="en-US"/>
        </w:rPr>
        <w:t>28</w:t>
      </w:r>
      <w:r w:rsidRPr="005B7916">
        <w:rPr>
          <w:rFonts w:ascii="Times New Roman" w:hAnsi="Times New Roman"/>
          <w:lang w:val="en-US"/>
        </w:rPr>
        <w:t>/12/2018 thực hiện Nghị quyết số 28-NQ/TW</w:t>
      </w:r>
      <w:r w:rsidR="007F2462" w:rsidRPr="005B7916">
        <w:rPr>
          <w:rFonts w:ascii="Times New Roman" w:hAnsi="Times New Roman"/>
          <w:lang w:val="en-US"/>
        </w:rPr>
        <w:t xml:space="preserve"> và NQ 125-NQ/CP ngày 08/10/2018</w:t>
      </w:r>
      <w:r w:rsidRPr="005B7916">
        <w:rPr>
          <w:rFonts w:ascii="Times New Roman" w:hAnsi="Times New Roman"/>
          <w:lang w:val="en-US"/>
        </w:rPr>
        <w:t>.</w:t>
      </w:r>
    </w:p>
  </w:footnote>
  <w:footnote w:id="6">
    <w:p w:rsidR="006F6E2B" w:rsidRPr="00305581" w:rsidRDefault="006F6E2B" w:rsidP="008F67F2">
      <w:pPr>
        <w:pStyle w:val="Vnbanccch"/>
        <w:jc w:val="both"/>
        <w:rPr>
          <w:rFonts w:ascii="Times New Roman" w:hAnsi="Times New Roman"/>
          <w:lang w:val="vi-VN"/>
        </w:rPr>
      </w:pPr>
      <w:r w:rsidRPr="005B7916">
        <w:rPr>
          <w:rStyle w:val="Thamchiuccch"/>
        </w:rPr>
        <w:footnoteRef/>
      </w:r>
      <w:r w:rsidRPr="005B7916">
        <w:rPr>
          <w:rFonts w:ascii="Times New Roman" w:hAnsi="Times New Roman"/>
        </w:rPr>
        <w:t xml:space="preserve"> </w:t>
      </w:r>
      <w:r w:rsidRPr="005B7916">
        <w:rPr>
          <w:rFonts w:ascii="Times New Roman" w:hAnsi="Times New Roman"/>
          <w:lang w:val="vi-VN"/>
        </w:rPr>
        <w:t xml:space="preserve">Quyết định số </w:t>
      </w:r>
      <w:r w:rsidR="005C4F38" w:rsidRPr="00305581">
        <w:rPr>
          <w:rFonts w:ascii="Times New Roman" w:hAnsi="Times New Roman"/>
          <w:lang w:val="vi-VN"/>
        </w:rPr>
        <w:t>2201</w:t>
      </w:r>
      <w:r w:rsidRPr="005B7916">
        <w:rPr>
          <w:rFonts w:ascii="Times New Roman" w:hAnsi="Times New Roman"/>
          <w:lang w:val="vi-VN"/>
        </w:rPr>
        <w:t xml:space="preserve">/QĐ-UBND ngày </w:t>
      </w:r>
      <w:r w:rsidR="005C4F38" w:rsidRPr="00305581">
        <w:rPr>
          <w:rFonts w:ascii="Times New Roman" w:hAnsi="Times New Roman"/>
          <w:lang w:val="vi-VN"/>
        </w:rPr>
        <w:t>09/12</w:t>
      </w:r>
      <w:r w:rsidRPr="005B7916">
        <w:rPr>
          <w:rFonts w:ascii="Times New Roman" w:hAnsi="Times New Roman"/>
          <w:lang w:val="vi-VN"/>
        </w:rPr>
        <w:t>/202</w:t>
      </w:r>
      <w:r w:rsidR="005C4F38" w:rsidRPr="00305581">
        <w:rPr>
          <w:rFonts w:ascii="Times New Roman" w:hAnsi="Times New Roman"/>
          <w:lang w:val="vi-VN"/>
        </w:rPr>
        <w:t>5</w:t>
      </w:r>
      <w:r w:rsidRPr="005B7916">
        <w:rPr>
          <w:rFonts w:ascii="Times New Roman" w:hAnsi="Times New Roman"/>
          <w:lang w:val="vi-VN"/>
        </w:rPr>
        <w:t xml:space="preserve"> của Chủ tịch UBND tỉnh kiện toàn Ban Chỉ đạo thực hiện chính sách bảo hiểm xã hội, bảo hiểm y tế trên địa bàn tỉnh </w:t>
      </w:r>
      <w:r w:rsidR="005C4F38" w:rsidRPr="00305581">
        <w:rPr>
          <w:rFonts w:ascii="Times New Roman" w:hAnsi="Times New Roman"/>
          <w:lang w:val="vi-VN"/>
        </w:rPr>
        <w:t>Thái Nguyên</w:t>
      </w:r>
    </w:p>
  </w:footnote>
  <w:footnote w:id="7">
    <w:p w:rsidR="006F6E2B" w:rsidRPr="005B7916" w:rsidRDefault="006F6E2B" w:rsidP="008F67F2">
      <w:pPr>
        <w:pStyle w:val="Vnbanccch"/>
        <w:jc w:val="both"/>
        <w:rPr>
          <w:rFonts w:ascii="Times New Roman" w:hAnsi="Times New Roman"/>
          <w:iCs/>
          <w:lang w:val="vi-VN"/>
        </w:rPr>
      </w:pPr>
      <w:r w:rsidRPr="005B7916">
        <w:rPr>
          <w:rStyle w:val="Thamchiuccch"/>
        </w:rPr>
        <w:footnoteRef/>
      </w:r>
      <w:r w:rsidRPr="005B7916">
        <w:t xml:space="preserve"> </w:t>
      </w:r>
      <w:r w:rsidR="005C4F38" w:rsidRPr="005B7916">
        <w:rPr>
          <w:rFonts w:ascii="Times New Roman" w:hAnsi="Times New Roman"/>
          <w:iCs/>
          <w:lang w:val="vi-VN"/>
        </w:rPr>
        <w:t xml:space="preserve">Công văn số </w:t>
      </w:r>
      <w:r w:rsidR="005C4F38" w:rsidRPr="00305581">
        <w:rPr>
          <w:rFonts w:ascii="Times New Roman" w:hAnsi="Times New Roman"/>
          <w:iCs/>
          <w:lang w:val="vi-VN"/>
        </w:rPr>
        <w:t xml:space="preserve">164/SNV-LĐVL ngày 08/7/2025 của Sở Nội vụ về việc tăng cường giải pháp thực hiện chỉ tiêu phát triển người tham gia bảo hiểm xã </w:t>
      </w:r>
      <w:r w:rsidRPr="005B7916">
        <w:rPr>
          <w:rFonts w:ascii="Times New Roman" w:hAnsi="Times New Roman"/>
          <w:iCs/>
          <w:lang w:val="vi-VN"/>
        </w:rPr>
        <w:t>hội trên địa bàn tỉnh</w:t>
      </w:r>
      <w:r w:rsidR="006E3DC8" w:rsidRPr="00305581">
        <w:rPr>
          <w:rFonts w:ascii="Times New Roman" w:hAnsi="Times New Roman"/>
          <w:iCs/>
          <w:lang w:val="vi-VN"/>
        </w:rPr>
        <w:t>; Công văn số 3498/SNV-LĐVL ngày 28/4/2026 tổ chức tháng cao điểm tuyên truyền, phát triển  người tham gia bảo hiểm xã hội; Công văn số 2403/SNV-LĐVL ngày 16/4/2026</w:t>
      </w:r>
      <w:r w:rsidR="005A47A1" w:rsidRPr="00305581">
        <w:rPr>
          <w:rFonts w:ascii="Times New Roman" w:hAnsi="Times New Roman"/>
          <w:iCs/>
          <w:lang w:val="vi-VN"/>
        </w:rPr>
        <w:t xml:space="preserve"> </w:t>
      </w:r>
      <w:r w:rsidR="005A47A1" w:rsidRPr="00305581">
        <w:rPr>
          <w:lang w:val="vi-VN"/>
        </w:rPr>
        <w:t>p</w:t>
      </w:r>
      <w:r w:rsidR="005A47A1" w:rsidRPr="00305581">
        <w:rPr>
          <w:rFonts w:ascii="Times New Roman" w:hAnsi="Times New Roman"/>
          <w:iCs/>
          <w:lang w:val="vi-VN"/>
        </w:rPr>
        <w:t>hối hợp triển khai thực hiện phát triển đối tượng tham gia bảo hiểm xã hội trên địa bàn tỉnh Thái Nguyên; Công văn số 1950/SNV-LĐVL ngày 30/3/2026 về việc thực hiện chỉ tiêu phát triển bảo hiểm xã hội tự nguyện năm 2026</w:t>
      </w:r>
      <w:r w:rsidRPr="005B7916">
        <w:rPr>
          <w:rFonts w:ascii="Times New Roman" w:hAnsi="Times New Roman"/>
          <w:iCs/>
          <w:lang w:val="vi-VN"/>
        </w:rPr>
        <w:t>.</w:t>
      </w:r>
    </w:p>
  </w:footnote>
  <w:footnote w:id="8">
    <w:p w:rsidR="006F6E2B" w:rsidRPr="005B7916" w:rsidRDefault="006F6E2B" w:rsidP="008F67F2">
      <w:pPr>
        <w:pStyle w:val="Vnbanccch"/>
        <w:rPr>
          <w:rFonts w:ascii="Times New Roman" w:hAnsi="Times New Roman"/>
          <w:lang w:val="vi-VN"/>
        </w:rPr>
      </w:pPr>
      <w:r w:rsidRPr="005B7916">
        <w:rPr>
          <w:rStyle w:val="Thamchiuccch"/>
          <w:rFonts w:ascii="Times New Roman" w:hAnsi="Times New Roman"/>
        </w:rPr>
        <w:footnoteRef/>
      </w:r>
      <w:r w:rsidRPr="005B7916">
        <w:rPr>
          <w:rFonts w:ascii="Times New Roman" w:hAnsi="Times New Roman"/>
        </w:rPr>
        <w:t xml:space="preserve"> </w:t>
      </w:r>
      <w:r w:rsidRPr="005B7916">
        <w:rPr>
          <w:rFonts w:ascii="Times New Roman" w:hAnsi="Times New Roman"/>
          <w:iCs/>
          <w:lang w:val="vi-VN"/>
        </w:rPr>
        <w:t xml:space="preserve">hỗ trợ 50% đối với người tham gia thuộc hộ nghèo, </w:t>
      </w:r>
      <w:r w:rsidRPr="005B7916">
        <w:rPr>
          <w:rFonts w:ascii="Times New Roman" w:hAnsi="Times New Roman"/>
          <w:lang w:val="vi-VN"/>
        </w:rPr>
        <w:t>40% đối với người tham gia thuộc hộ cận nghèo, 30% đối với người tham gia là người dân tộc thiểu số và 20% đối với người tham gia khác.</w:t>
      </w:r>
    </w:p>
  </w:footnote>
  <w:footnote w:id="9">
    <w:p w:rsidR="006F6E2B" w:rsidRPr="00B02132" w:rsidRDefault="006F6E2B" w:rsidP="00FA5B47">
      <w:pPr>
        <w:pStyle w:val="Vnbanccch"/>
        <w:jc w:val="both"/>
        <w:rPr>
          <w:rFonts w:ascii="Times New Roman" w:hAnsi="Times New Roman"/>
        </w:rPr>
      </w:pPr>
      <w:r w:rsidRPr="00B02132">
        <w:rPr>
          <w:rStyle w:val="Thamchiuccch"/>
          <w:rFonts w:ascii="Times New Roman" w:hAnsi="Times New Roman"/>
          <w:color w:val="000000"/>
        </w:rPr>
        <w:footnoteRef/>
      </w:r>
      <w:r w:rsidRPr="00B02132">
        <w:rPr>
          <w:rFonts w:ascii="Times New Roman" w:hAnsi="Times New Roman"/>
          <w:color w:val="000000"/>
        </w:rPr>
        <w:t xml:space="preserve"> Người tham gia BHXH tự nguyện hàng tháng đóng bằng 22% mức thu nhập làm căn cứ đóng BHXH tự nguyện quy định tại khoản 2 Điều 31 và khoản 1 Điều 36 Luật BHXH năm 2024. Ví</w:t>
      </w:r>
      <w:r w:rsidRPr="00B02132">
        <w:rPr>
          <w:rFonts w:ascii="Times New Roman" w:hAnsi="Times New Roman"/>
          <w:color w:val="000000"/>
          <w:lang w:val="en-US"/>
        </w:rPr>
        <w:t xml:space="preserve"> dụ</w:t>
      </w:r>
      <w:r w:rsidRPr="00B02132">
        <w:rPr>
          <w:rFonts w:ascii="Times New Roman" w:hAnsi="Times New Roman"/>
          <w:color w:val="000000"/>
        </w:rPr>
        <w:t>: đối tượng tham gia</w:t>
      </w:r>
      <w:r>
        <w:rPr>
          <w:rFonts w:ascii="Times New Roman" w:hAnsi="Times New Roman"/>
          <w:color w:val="000000"/>
        </w:rPr>
        <w:t xml:space="preserve"> BHXH tự nguyện thuộc hộ nghèo</w:t>
      </w:r>
      <w:r>
        <w:rPr>
          <w:rFonts w:ascii="Times New Roman" w:hAnsi="Times New Roman"/>
          <w:color w:val="000000"/>
          <w:lang w:val="vi-VN"/>
        </w:rPr>
        <w:t xml:space="preserve"> </w:t>
      </w:r>
      <w:r w:rsidRPr="00B02132">
        <w:rPr>
          <w:rFonts w:ascii="Times New Roman" w:hAnsi="Times New Roman"/>
          <w:color w:val="000000"/>
        </w:rPr>
        <w:t>được ngân sách</w:t>
      </w:r>
      <w:r>
        <w:rPr>
          <w:rFonts w:ascii="Times New Roman" w:hAnsi="Times New Roman"/>
          <w:color w:val="000000"/>
          <w:lang w:val="vi-VN"/>
        </w:rPr>
        <w:t xml:space="preserve"> trung ương hỗ trợ 50%, ngân sách</w:t>
      </w:r>
      <w:r w:rsidRPr="00B02132">
        <w:rPr>
          <w:rFonts w:ascii="Times New Roman" w:hAnsi="Times New Roman"/>
          <w:color w:val="000000"/>
        </w:rPr>
        <w:t xml:space="preserve"> cấp tỉnh </w:t>
      </w:r>
      <w:r>
        <w:rPr>
          <w:rFonts w:ascii="Times New Roman" w:hAnsi="Times New Roman"/>
          <w:color w:val="000000"/>
        </w:rPr>
        <w:t xml:space="preserve">hỗ trợ </w:t>
      </w:r>
      <w:r>
        <w:rPr>
          <w:rFonts w:ascii="Times New Roman" w:hAnsi="Times New Roman"/>
          <w:color w:val="000000"/>
          <w:lang w:val="vi-VN"/>
        </w:rPr>
        <w:t>2</w:t>
      </w:r>
      <w:r w:rsidRPr="00B02132">
        <w:rPr>
          <w:rFonts w:ascii="Times New Roman" w:hAnsi="Times New Roman"/>
          <w:color w:val="000000"/>
        </w:rPr>
        <w:t>0% mức đóng hàng tháng theo mức chuẩn hộ nghèo của khu vực nông thôn</w:t>
      </w:r>
      <w:r>
        <w:rPr>
          <w:rFonts w:ascii="Times New Roman" w:hAnsi="Times New Roman"/>
          <w:color w:val="000000"/>
          <w:lang w:val="vi-VN"/>
        </w:rPr>
        <w:t>, tổng số tiền được</w:t>
      </w:r>
      <w:r w:rsidRPr="00B02132">
        <w:rPr>
          <w:rFonts w:ascii="Times New Roman" w:hAnsi="Times New Roman"/>
          <w:color w:val="000000"/>
        </w:rPr>
        <w:t xml:space="preserve"> hỗ trợ là: (22% x 1.500.000</w:t>
      </w:r>
      <w:r w:rsidRPr="00B02132">
        <w:rPr>
          <w:rFonts w:ascii="Times New Roman" w:hAnsi="Times New Roman"/>
          <w:color w:val="000000"/>
          <w:lang w:val="en-US"/>
        </w:rPr>
        <w:t xml:space="preserve"> </w:t>
      </w:r>
      <w:r w:rsidRPr="00B02132">
        <w:rPr>
          <w:rFonts w:ascii="Times New Roman" w:hAnsi="Times New Roman"/>
          <w:color w:val="000000"/>
        </w:rPr>
        <w:t>đồng</w:t>
      </w:r>
      <w:r>
        <w:rPr>
          <w:rFonts w:ascii="Times New Roman" w:hAnsi="Times New Roman"/>
          <w:color w:val="000000"/>
        </w:rPr>
        <w:t xml:space="preserve">) x </w:t>
      </w:r>
      <w:r>
        <w:rPr>
          <w:rFonts w:ascii="Times New Roman" w:hAnsi="Times New Roman"/>
          <w:color w:val="000000"/>
          <w:lang w:val="vi-VN"/>
        </w:rPr>
        <w:t>7</w:t>
      </w:r>
      <w:r>
        <w:rPr>
          <w:rFonts w:ascii="Times New Roman" w:hAnsi="Times New Roman"/>
          <w:color w:val="000000"/>
        </w:rPr>
        <w:t xml:space="preserve">0% = </w:t>
      </w:r>
      <w:r>
        <w:rPr>
          <w:rFonts w:ascii="Times New Roman" w:hAnsi="Times New Roman"/>
          <w:color w:val="000000"/>
          <w:lang w:val="vi-VN"/>
        </w:rPr>
        <w:t>231</w:t>
      </w:r>
      <w:r w:rsidRPr="00B02132">
        <w:rPr>
          <w:rFonts w:ascii="Times New Roman" w:hAnsi="Times New Roman"/>
          <w:color w:val="000000"/>
        </w:rPr>
        <w:t>.000</w:t>
      </w:r>
      <w:r w:rsidRPr="00B02132">
        <w:rPr>
          <w:rFonts w:ascii="Times New Roman" w:hAnsi="Times New Roman"/>
          <w:color w:val="000000"/>
          <w:lang w:val="en-US"/>
        </w:rPr>
        <w:t xml:space="preserve"> </w:t>
      </w:r>
      <w:r w:rsidRPr="00B02132">
        <w:rPr>
          <w:rFonts w:ascii="Times New Roman" w:hAnsi="Times New Roman"/>
          <w:color w:val="000000"/>
        </w:rPr>
        <w:t>đồng/tháng/người.</w:t>
      </w:r>
    </w:p>
  </w:footnote>
  <w:footnote w:id="10">
    <w:p w:rsidR="006F6E2B" w:rsidRPr="00E9396D" w:rsidRDefault="006F6E2B" w:rsidP="00DD659A">
      <w:pPr>
        <w:pStyle w:val="Vnbanccch"/>
        <w:rPr>
          <w:rFonts w:ascii="Times New Roman" w:hAnsi="Times New Roman"/>
          <w:lang w:val="vi-VN"/>
        </w:rPr>
      </w:pPr>
      <w:r w:rsidRPr="00E9396D">
        <w:rPr>
          <w:rStyle w:val="Thamchiuccch"/>
          <w:rFonts w:ascii="Times New Roman" w:hAnsi="Times New Roman"/>
        </w:rPr>
        <w:footnoteRef/>
      </w:r>
      <w:r w:rsidRPr="00E9396D">
        <w:rPr>
          <w:rFonts w:ascii="Times New Roman" w:hAnsi="Times New Roman"/>
        </w:rPr>
        <w:t xml:space="preserve"> </w:t>
      </w:r>
      <w:r w:rsidRPr="00E9396D">
        <w:rPr>
          <w:rFonts w:ascii="Times New Roman" w:hAnsi="Times New Roman"/>
          <w:lang w:val="vi-VN"/>
        </w:rPr>
        <w:t>22% mức thu nhập chuẩn hộ nghèo ở khu vực nông thôn hiện nay là 1.500.000đồng/tháng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E2B" w:rsidRPr="00992472" w:rsidRDefault="006F6E2B">
    <w:pPr>
      <w:pStyle w:val="utrang"/>
      <w:jc w:val="center"/>
      <w:rPr>
        <w:rFonts w:ascii="Times New Roman" w:hAnsi="Times New Roman"/>
      </w:rPr>
    </w:pPr>
    <w:r w:rsidRPr="00992472">
      <w:rPr>
        <w:rFonts w:ascii="Times New Roman" w:hAnsi="Times New Roman"/>
      </w:rPr>
      <w:fldChar w:fldCharType="begin"/>
    </w:r>
    <w:r w:rsidRPr="00992472">
      <w:rPr>
        <w:rFonts w:ascii="Times New Roman" w:hAnsi="Times New Roman"/>
      </w:rPr>
      <w:instrText xml:space="preserve"> PAGE   \* MERGEFORMAT </w:instrText>
    </w:r>
    <w:r w:rsidRPr="00992472">
      <w:rPr>
        <w:rFonts w:ascii="Times New Roman" w:hAnsi="Times New Roman"/>
      </w:rPr>
      <w:fldChar w:fldCharType="separate"/>
    </w:r>
    <w:r w:rsidR="00C93E8C">
      <w:rPr>
        <w:rFonts w:ascii="Times New Roman" w:hAnsi="Times New Roman"/>
        <w:noProof/>
      </w:rPr>
      <w:t>2</w:t>
    </w:r>
    <w:r w:rsidRPr="00992472">
      <w:rPr>
        <w:rFonts w:ascii="Times New Roman" w:hAnsi="Times New Roman"/>
        <w:noProof/>
      </w:rPr>
      <w:fldChar w:fldCharType="end"/>
    </w:r>
  </w:p>
  <w:p w:rsidR="006F6E2B" w:rsidRPr="002B5D80" w:rsidRDefault="006F6E2B">
    <w:pPr>
      <w:pStyle w:val="utra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882"/>
    <w:multiLevelType w:val="hybridMultilevel"/>
    <w:tmpl w:val="1674B9EE"/>
    <w:lvl w:ilvl="0" w:tplc="2B085EE6">
      <w:start w:val="4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81BAC"/>
    <w:multiLevelType w:val="hybridMultilevel"/>
    <w:tmpl w:val="2788E918"/>
    <w:lvl w:ilvl="0" w:tplc="B3569B3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69753C"/>
    <w:multiLevelType w:val="hybridMultilevel"/>
    <w:tmpl w:val="C98C9728"/>
    <w:lvl w:ilvl="0" w:tplc="9006BD46">
      <w:start w:val="2"/>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8372399"/>
    <w:multiLevelType w:val="hybridMultilevel"/>
    <w:tmpl w:val="2CE4B66A"/>
    <w:lvl w:ilvl="0" w:tplc="45287A10">
      <w:start w:val="2"/>
      <w:numFmt w:val="bullet"/>
      <w:lvlText w:val=""/>
      <w:lvlJc w:val="left"/>
      <w:pPr>
        <w:ind w:left="2062" w:hanging="360"/>
      </w:pPr>
      <w:rPr>
        <w:rFonts w:ascii="Symbol" w:eastAsia="Times New Roman" w:hAnsi="Symbol" w:cs="Times New Roman"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nsid w:val="2A582560"/>
    <w:multiLevelType w:val="hybridMultilevel"/>
    <w:tmpl w:val="91F838F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AD912EF"/>
    <w:multiLevelType w:val="hybridMultilevel"/>
    <w:tmpl w:val="2AEACDB2"/>
    <w:lvl w:ilvl="0" w:tplc="E250CF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A18FD"/>
    <w:multiLevelType w:val="hybridMultilevel"/>
    <w:tmpl w:val="FAC2AEDC"/>
    <w:lvl w:ilvl="0" w:tplc="8ECA79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6743E46"/>
    <w:multiLevelType w:val="hybridMultilevel"/>
    <w:tmpl w:val="94B218A0"/>
    <w:lvl w:ilvl="0" w:tplc="A6F0E750">
      <w:start w:val="2"/>
      <w:numFmt w:val="bullet"/>
      <w:lvlText w:val=""/>
      <w:lvlJc w:val="left"/>
      <w:pPr>
        <w:ind w:left="1125" w:hanging="360"/>
      </w:pPr>
      <w:rPr>
        <w:rFonts w:ascii="Symbol" w:eastAsia="Times New Roman" w:hAnsi="Symbol"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375275C4"/>
    <w:multiLevelType w:val="hybridMultilevel"/>
    <w:tmpl w:val="57CC876A"/>
    <w:lvl w:ilvl="0" w:tplc="2CFAC10A">
      <w:start w:val="2"/>
      <w:numFmt w:val="bullet"/>
      <w:lvlText w:val=""/>
      <w:lvlJc w:val="left"/>
      <w:pPr>
        <w:ind w:left="1125" w:hanging="360"/>
      </w:pPr>
      <w:rPr>
        <w:rFonts w:ascii="Symbol" w:eastAsia="Times New Roman" w:hAnsi="Symbol"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nsid w:val="3B707C71"/>
    <w:multiLevelType w:val="hybridMultilevel"/>
    <w:tmpl w:val="40E05D98"/>
    <w:lvl w:ilvl="0" w:tplc="0128B092">
      <w:start w:val="2"/>
      <w:numFmt w:val="bullet"/>
      <w:lvlText w:val=""/>
      <w:lvlJc w:val="left"/>
      <w:pPr>
        <w:ind w:left="1125" w:hanging="360"/>
      </w:pPr>
      <w:rPr>
        <w:rFonts w:ascii="Symbol" w:eastAsia="Times New Roman" w:hAnsi="Symbol"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54F46646"/>
    <w:multiLevelType w:val="hybridMultilevel"/>
    <w:tmpl w:val="1DEAE39A"/>
    <w:lvl w:ilvl="0" w:tplc="8B06E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362C51"/>
    <w:multiLevelType w:val="hybridMultilevel"/>
    <w:tmpl w:val="9C74BE42"/>
    <w:lvl w:ilvl="0" w:tplc="027C957E">
      <w:start w:val="2"/>
      <w:numFmt w:val="bullet"/>
      <w:lvlText w:val=""/>
      <w:lvlJc w:val="left"/>
      <w:pPr>
        <w:ind w:left="1080" w:hanging="360"/>
      </w:pPr>
      <w:rPr>
        <w:rFonts w:ascii="Symbol" w:eastAsia="Times New Roman" w:hAnsi="Symbol"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91E2906"/>
    <w:multiLevelType w:val="hybridMultilevel"/>
    <w:tmpl w:val="6D328C6C"/>
    <w:lvl w:ilvl="0" w:tplc="F69C54B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9BA6E8A"/>
    <w:multiLevelType w:val="hybridMultilevel"/>
    <w:tmpl w:val="958CB558"/>
    <w:lvl w:ilvl="0" w:tplc="43125A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BB25E3"/>
    <w:multiLevelType w:val="hybridMultilevel"/>
    <w:tmpl w:val="A260C562"/>
    <w:lvl w:ilvl="0" w:tplc="75A6CB80">
      <w:start w:val="2"/>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620F2569"/>
    <w:multiLevelType w:val="hybridMultilevel"/>
    <w:tmpl w:val="97EA5140"/>
    <w:lvl w:ilvl="0" w:tplc="C57243C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69412477"/>
    <w:multiLevelType w:val="hybridMultilevel"/>
    <w:tmpl w:val="2632CCD4"/>
    <w:lvl w:ilvl="0" w:tplc="1C203E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EF87B78"/>
    <w:multiLevelType w:val="hybridMultilevel"/>
    <w:tmpl w:val="B3566B26"/>
    <w:lvl w:ilvl="0" w:tplc="2752C8D8">
      <w:start w:val="2"/>
      <w:numFmt w:val="bullet"/>
      <w:lvlText w:val="-"/>
      <w:lvlJc w:val="left"/>
      <w:pPr>
        <w:ind w:left="1080" w:hanging="360"/>
      </w:pPr>
      <w:rPr>
        <w:rFonts w:ascii="Times New Roman" w:eastAsia="Times New Roman" w:hAnsi="Times New Roman"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4E95BE3"/>
    <w:multiLevelType w:val="hybridMultilevel"/>
    <w:tmpl w:val="8FA65E00"/>
    <w:lvl w:ilvl="0" w:tplc="8110AEE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A46E82"/>
    <w:multiLevelType w:val="hybridMultilevel"/>
    <w:tmpl w:val="CCDA6D28"/>
    <w:lvl w:ilvl="0" w:tplc="6FC693E8">
      <w:start w:val="2"/>
      <w:numFmt w:val="bullet"/>
      <w:lvlText w:val="-"/>
      <w:lvlJc w:val="left"/>
      <w:pPr>
        <w:ind w:left="990" w:hanging="360"/>
      </w:pPr>
      <w:rPr>
        <w:rFonts w:ascii="Times New Roman" w:eastAsia="Times New Roman" w:hAnsi="Times New Roman" w:cs="Times New Roman" w:hint="default"/>
        <w:b/>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7DBC57A2"/>
    <w:multiLevelType w:val="hybridMultilevel"/>
    <w:tmpl w:val="85D6D0BE"/>
    <w:lvl w:ilvl="0" w:tplc="9FF06992">
      <w:start w:val="2"/>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2"/>
  </w:num>
  <w:num w:numId="2">
    <w:abstractNumId w:val="9"/>
  </w:num>
  <w:num w:numId="3">
    <w:abstractNumId w:val="11"/>
  </w:num>
  <w:num w:numId="4">
    <w:abstractNumId w:val="7"/>
  </w:num>
  <w:num w:numId="5">
    <w:abstractNumId w:val="20"/>
  </w:num>
  <w:num w:numId="6">
    <w:abstractNumId w:val="8"/>
  </w:num>
  <w:num w:numId="7">
    <w:abstractNumId w:val="3"/>
  </w:num>
  <w:num w:numId="8">
    <w:abstractNumId w:val="17"/>
  </w:num>
  <w:num w:numId="9">
    <w:abstractNumId w:val="19"/>
  </w:num>
  <w:num w:numId="10">
    <w:abstractNumId w:val="18"/>
  </w:num>
  <w:num w:numId="11">
    <w:abstractNumId w:val="13"/>
  </w:num>
  <w:num w:numId="12">
    <w:abstractNumId w:val="5"/>
  </w:num>
  <w:num w:numId="13">
    <w:abstractNumId w:val="10"/>
  </w:num>
  <w:num w:numId="14">
    <w:abstractNumId w:val="15"/>
  </w:num>
  <w:num w:numId="15">
    <w:abstractNumId w:val="16"/>
  </w:num>
  <w:num w:numId="16">
    <w:abstractNumId w:val="6"/>
  </w:num>
  <w:num w:numId="17">
    <w:abstractNumId w:val="4"/>
  </w:num>
  <w:num w:numId="18">
    <w:abstractNumId w:val="2"/>
  </w:num>
  <w:num w:numId="19">
    <w:abstractNumId w:val="14"/>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3B"/>
    <w:rsid w:val="00003D73"/>
    <w:rsid w:val="00004EDC"/>
    <w:rsid w:val="00005C6B"/>
    <w:rsid w:val="00006FB6"/>
    <w:rsid w:val="000075E2"/>
    <w:rsid w:val="00007E4E"/>
    <w:rsid w:val="000119CF"/>
    <w:rsid w:val="00014B9F"/>
    <w:rsid w:val="00014BC9"/>
    <w:rsid w:val="00016CC9"/>
    <w:rsid w:val="000173A2"/>
    <w:rsid w:val="00020084"/>
    <w:rsid w:val="000223BF"/>
    <w:rsid w:val="00024110"/>
    <w:rsid w:val="000267D4"/>
    <w:rsid w:val="000270A0"/>
    <w:rsid w:val="000274F2"/>
    <w:rsid w:val="00027B43"/>
    <w:rsid w:val="00027C38"/>
    <w:rsid w:val="00032966"/>
    <w:rsid w:val="00033C5F"/>
    <w:rsid w:val="00035A5C"/>
    <w:rsid w:val="0003645B"/>
    <w:rsid w:val="00040E96"/>
    <w:rsid w:val="00041DFA"/>
    <w:rsid w:val="00041FB6"/>
    <w:rsid w:val="000428E3"/>
    <w:rsid w:val="00045D2A"/>
    <w:rsid w:val="000465A3"/>
    <w:rsid w:val="00047C94"/>
    <w:rsid w:val="0005095E"/>
    <w:rsid w:val="000515E6"/>
    <w:rsid w:val="00052BDD"/>
    <w:rsid w:val="00053BE8"/>
    <w:rsid w:val="000576EB"/>
    <w:rsid w:val="00063052"/>
    <w:rsid w:val="00064BEE"/>
    <w:rsid w:val="00064F2E"/>
    <w:rsid w:val="00065789"/>
    <w:rsid w:val="00065958"/>
    <w:rsid w:val="00065E04"/>
    <w:rsid w:val="000700E1"/>
    <w:rsid w:val="0007476B"/>
    <w:rsid w:val="0007736C"/>
    <w:rsid w:val="000777EA"/>
    <w:rsid w:val="00081323"/>
    <w:rsid w:val="0008393C"/>
    <w:rsid w:val="00084435"/>
    <w:rsid w:val="0008774C"/>
    <w:rsid w:val="00090167"/>
    <w:rsid w:val="00091387"/>
    <w:rsid w:val="00091D11"/>
    <w:rsid w:val="000922EA"/>
    <w:rsid w:val="00092E32"/>
    <w:rsid w:val="00093E13"/>
    <w:rsid w:val="00097549"/>
    <w:rsid w:val="00097FBC"/>
    <w:rsid w:val="000A0956"/>
    <w:rsid w:val="000A0B24"/>
    <w:rsid w:val="000A3502"/>
    <w:rsid w:val="000A4436"/>
    <w:rsid w:val="000B0286"/>
    <w:rsid w:val="000B31B7"/>
    <w:rsid w:val="000B4413"/>
    <w:rsid w:val="000C1578"/>
    <w:rsid w:val="000C20BF"/>
    <w:rsid w:val="000C3A8E"/>
    <w:rsid w:val="000C729A"/>
    <w:rsid w:val="000C79C0"/>
    <w:rsid w:val="000D062C"/>
    <w:rsid w:val="000D24FE"/>
    <w:rsid w:val="000E0645"/>
    <w:rsid w:val="000E08A4"/>
    <w:rsid w:val="000E57A0"/>
    <w:rsid w:val="000E6F0F"/>
    <w:rsid w:val="000F3720"/>
    <w:rsid w:val="000F3855"/>
    <w:rsid w:val="000F676A"/>
    <w:rsid w:val="00103087"/>
    <w:rsid w:val="00107D4A"/>
    <w:rsid w:val="00111812"/>
    <w:rsid w:val="00114116"/>
    <w:rsid w:val="001154BD"/>
    <w:rsid w:val="001219DB"/>
    <w:rsid w:val="00122E46"/>
    <w:rsid w:val="001249B1"/>
    <w:rsid w:val="00125991"/>
    <w:rsid w:val="00125FE9"/>
    <w:rsid w:val="001278BE"/>
    <w:rsid w:val="001305C2"/>
    <w:rsid w:val="00131D29"/>
    <w:rsid w:val="00133C35"/>
    <w:rsid w:val="00136C21"/>
    <w:rsid w:val="00136C96"/>
    <w:rsid w:val="00137FAE"/>
    <w:rsid w:val="00142578"/>
    <w:rsid w:val="00144C6F"/>
    <w:rsid w:val="001451B1"/>
    <w:rsid w:val="00147479"/>
    <w:rsid w:val="00152069"/>
    <w:rsid w:val="001520E0"/>
    <w:rsid w:val="001528A3"/>
    <w:rsid w:val="00156514"/>
    <w:rsid w:val="00156981"/>
    <w:rsid w:val="00171FB2"/>
    <w:rsid w:val="001722C8"/>
    <w:rsid w:val="001735FF"/>
    <w:rsid w:val="0017480D"/>
    <w:rsid w:val="00174B8A"/>
    <w:rsid w:val="001762CF"/>
    <w:rsid w:val="00177F29"/>
    <w:rsid w:val="001813B7"/>
    <w:rsid w:val="00187567"/>
    <w:rsid w:val="001877E8"/>
    <w:rsid w:val="001919E0"/>
    <w:rsid w:val="0019493D"/>
    <w:rsid w:val="001975C7"/>
    <w:rsid w:val="001A2399"/>
    <w:rsid w:val="001A2C19"/>
    <w:rsid w:val="001A2D27"/>
    <w:rsid w:val="001A3554"/>
    <w:rsid w:val="001B0114"/>
    <w:rsid w:val="001B4B35"/>
    <w:rsid w:val="001C1761"/>
    <w:rsid w:val="001C1C78"/>
    <w:rsid w:val="001C2FF0"/>
    <w:rsid w:val="001D2728"/>
    <w:rsid w:val="001D6FBC"/>
    <w:rsid w:val="001E0472"/>
    <w:rsid w:val="001E1DAB"/>
    <w:rsid w:val="001E22C7"/>
    <w:rsid w:val="001E4DCB"/>
    <w:rsid w:val="001E5E4E"/>
    <w:rsid w:val="001E791C"/>
    <w:rsid w:val="001F044F"/>
    <w:rsid w:val="001F0EF5"/>
    <w:rsid w:val="001F120E"/>
    <w:rsid w:val="001F127B"/>
    <w:rsid w:val="001F47AA"/>
    <w:rsid w:val="001F564C"/>
    <w:rsid w:val="001F7926"/>
    <w:rsid w:val="00200DBA"/>
    <w:rsid w:val="002040C3"/>
    <w:rsid w:val="00204CDF"/>
    <w:rsid w:val="002054D2"/>
    <w:rsid w:val="00207F1E"/>
    <w:rsid w:val="0021086D"/>
    <w:rsid w:val="0021162E"/>
    <w:rsid w:val="00213E2D"/>
    <w:rsid w:val="002162B7"/>
    <w:rsid w:val="00220A8F"/>
    <w:rsid w:val="00225F2C"/>
    <w:rsid w:val="00226A16"/>
    <w:rsid w:val="00230137"/>
    <w:rsid w:val="00231C9A"/>
    <w:rsid w:val="00231F0B"/>
    <w:rsid w:val="00234E91"/>
    <w:rsid w:val="002371EE"/>
    <w:rsid w:val="00240067"/>
    <w:rsid w:val="00241AB9"/>
    <w:rsid w:val="00241DAE"/>
    <w:rsid w:val="00242AA6"/>
    <w:rsid w:val="00242DA0"/>
    <w:rsid w:val="002438A7"/>
    <w:rsid w:val="002447CF"/>
    <w:rsid w:val="00245B18"/>
    <w:rsid w:val="00246FCB"/>
    <w:rsid w:val="00250039"/>
    <w:rsid w:val="002501D7"/>
    <w:rsid w:val="002536BD"/>
    <w:rsid w:val="00257FB2"/>
    <w:rsid w:val="00260B66"/>
    <w:rsid w:val="00260CC7"/>
    <w:rsid w:val="002614F2"/>
    <w:rsid w:val="00261C13"/>
    <w:rsid w:val="00262A6E"/>
    <w:rsid w:val="00265FB9"/>
    <w:rsid w:val="00267849"/>
    <w:rsid w:val="00267D18"/>
    <w:rsid w:val="002711D8"/>
    <w:rsid w:val="00271543"/>
    <w:rsid w:val="002715C4"/>
    <w:rsid w:val="00272B77"/>
    <w:rsid w:val="0027373F"/>
    <w:rsid w:val="00273EDC"/>
    <w:rsid w:val="0027798F"/>
    <w:rsid w:val="00286FCE"/>
    <w:rsid w:val="00290BA0"/>
    <w:rsid w:val="00290EBF"/>
    <w:rsid w:val="00292647"/>
    <w:rsid w:val="00293006"/>
    <w:rsid w:val="002935ED"/>
    <w:rsid w:val="002951C7"/>
    <w:rsid w:val="002A5324"/>
    <w:rsid w:val="002A591E"/>
    <w:rsid w:val="002A595C"/>
    <w:rsid w:val="002A6DD7"/>
    <w:rsid w:val="002B1E0C"/>
    <w:rsid w:val="002B454F"/>
    <w:rsid w:val="002B5D80"/>
    <w:rsid w:val="002B63F6"/>
    <w:rsid w:val="002B70C1"/>
    <w:rsid w:val="002C3D22"/>
    <w:rsid w:val="002C45BD"/>
    <w:rsid w:val="002C5C92"/>
    <w:rsid w:val="002C6D44"/>
    <w:rsid w:val="002C7B5D"/>
    <w:rsid w:val="002D00D8"/>
    <w:rsid w:val="002D2C80"/>
    <w:rsid w:val="002D36F4"/>
    <w:rsid w:val="002D64E4"/>
    <w:rsid w:val="002E2441"/>
    <w:rsid w:val="002E49DB"/>
    <w:rsid w:val="002E4D9E"/>
    <w:rsid w:val="002E5981"/>
    <w:rsid w:val="002E5E0B"/>
    <w:rsid w:val="002E5F1A"/>
    <w:rsid w:val="002E708D"/>
    <w:rsid w:val="002F0C47"/>
    <w:rsid w:val="002F10C9"/>
    <w:rsid w:val="002F29C1"/>
    <w:rsid w:val="002F3178"/>
    <w:rsid w:val="002F34B8"/>
    <w:rsid w:val="002F3EA7"/>
    <w:rsid w:val="002F6151"/>
    <w:rsid w:val="002F775F"/>
    <w:rsid w:val="0030313B"/>
    <w:rsid w:val="003034EC"/>
    <w:rsid w:val="00305581"/>
    <w:rsid w:val="00306E39"/>
    <w:rsid w:val="00311102"/>
    <w:rsid w:val="003157B7"/>
    <w:rsid w:val="00317E6F"/>
    <w:rsid w:val="0032035F"/>
    <w:rsid w:val="00326B71"/>
    <w:rsid w:val="0033210A"/>
    <w:rsid w:val="0033240F"/>
    <w:rsid w:val="00333E03"/>
    <w:rsid w:val="00337CF3"/>
    <w:rsid w:val="00337F60"/>
    <w:rsid w:val="00340C8B"/>
    <w:rsid w:val="00341D4F"/>
    <w:rsid w:val="00343FF2"/>
    <w:rsid w:val="003460AA"/>
    <w:rsid w:val="00346A7E"/>
    <w:rsid w:val="0034798F"/>
    <w:rsid w:val="00354CBF"/>
    <w:rsid w:val="003604DD"/>
    <w:rsid w:val="0036178E"/>
    <w:rsid w:val="00361A77"/>
    <w:rsid w:val="00361FD3"/>
    <w:rsid w:val="00366676"/>
    <w:rsid w:val="00370C50"/>
    <w:rsid w:val="00371868"/>
    <w:rsid w:val="0037584A"/>
    <w:rsid w:val="00376FAC"/>
    <w:rsid w:val="0037713E"/>
    <w:rsid w:val="00380515"/>
    <w:rsid w:val="00382EC8"/>
    <w:rsid w:val="00386D67"/>
    <w:rsid w:val="003873AD"/>
    <w:rsid w:val="0039281C"/>
    <w:rsid w:val="00395A2D"/>
    <w:rsid w:val="00396960"/>
    <w:rsid w:val="003A0432"/>
    <w:rsid w:val="003A051C"/>
    <w:rsid w:val="003A0839"/>
    <w:rsid w:val="003A1D0F"/>
    <w:rsid w:val="003A3807"/>
    <w:rsid w:val="003B113E"/>
    <w:rsid w:val="003B3DAC"/>
    <w:rsid w:val="003B6E35"/>
    <w:rsid w:val="003B7130"/>
    <w:rsid w:val="003B75CA"/>
    <w:rsid w:val="003B799E"/>
    <w:rsid w:val="003B7D4F"/>
    <w:rsid w:val="003C34B0"/>
    <w:rsid w:val="003C3DDF"/>
    <w:rsid w:val="003C3ED4"/>
    <w:rsid w:val="003C689F"/>
    <w:rsid w:val="003D686F"/>
    <w:rsid w:val="003D689B"/>
    <w:rsid w:val="003E1307"/>
    <w:rsid w:val="003E1500"/>
    <w:rsid w:val="003E2E17"/>
    <w:rsid w:val="003E4CBC"/>
    <w:rsid w:val="003E5306"/>
    <w:rsid w:val="003E6B48"/>
    <w:rsid w:val="003E6E93"/>
    <w:rsid w:val="003F06D4"/>
    <w:rsid w:val="003F26BD"/>
    <w:rsid w:val="003F318D"/>
    <w:rsid w:val="003F3AC7"/>
    <w:rsid w:val="003F3CCA"/>
    <w:rsid w:val="003F59D9"/>
    <w:rsid w:val="003F6B4B"/>
    <w:rsid w:val="004015B7"/>
    <w:rsid w:val="00402C19"/>
    <w:rsid w:val="00404582"/>
    <w:rsid w:val="00407EA6"/>
    <w:rsid w:val="00410177"/>
    <w:rsid w:val="00410A33"/>
    <w:rsid w:val="004113BE"/>
    <w:rsid w:val="00412E54"/>
    <w:rsid w:val="00414D07"/>
    <w:rsid w:val="00415049"/>
    <w:rsid w:val="0041518D"/>
    <w:rsid w:val="00415DAA"/>
    <w:rsid w:val="00416181"/>
    <w:rsid w:val="00421438"/>
    <w:rsid w:val="00422FF6"/>
    <w:rsid w:val="0042523D"/>
    <w:rsid w:val="0042554D"/>
    <w:rsid w:val="0043044D"/>
    <w:rsid w:val="00431D3F"/>
    <w:rsid w:val="00434420"/>
    <w:rsid w:val="00434D33"/>
    <w:rsid w:val="00435459"/>
    <w:rsid w:val="00435AC2"/>
    <w:rsid w:val="00442CF6"/>
    <w:rsid w:val="00444B18"/>
    <w:rsid w:val="0044589A"/>
    <w:rsid w:val="0045111C"/>
    <w:rsid w:val="0045204A"/>
    <w:rsid w:val="00454615"/>
    <w:rsid w:val="00455B8E"/>
    <w:rsid w:val="004578CE"/>
    <w:rsid w:val="00457A0C"/>
    <w:rsid w:val="00457F2F"/>
    <w:rsid w:val="004604F3"/>
    <w:rsid w:val="00460EF2"/>
    <w:rsid w:val="0046210F"/>
    <w:rsid w:val="00475716"/>
    <w:rsid w:val="00475ACA"/>
    <w:rsid w:val="00475C80"/>
    <w:rsid w:val="00477904"/>
    <w:rsid w:val="00482F7A"/>
    <w:rsid w:val="00484E2F"/>
    <w:rsid w:val="00485FA5"/>
    <w:rsid w:val="0048681E"/>
    <w:rsid w:val="0049113B"/>
    <w:rsid w:val="004916AD"/>
    <w:rsid w:val="00496187"/>
    <w:rsid w:val="00496999"/>
    <w:rsid w:val="004A12D4"/>
    <w:rsid w:val="004A295D"/>
    <w:rsid w:val="004A385F"/>
    <w:rsid w:val="004B4235"/>
    <w:rsid w:val="004B7982"/>
    <w:rsid w:val="004C44EE"/>
    <w:rsid w:val="004C6E2B"/>
    <w:rsid w:val="004D1C28"/>
    <w:rsid w:val="004D2A74"/>
    <w:rsid w:val="004D52B3"/>
    <w:rsid w:val="004D5AA7"/>
    <w:rsid w:val="004D65C7"/>
    <w:rsid w:val="004D65E6"/>
    <w:rsid w:val="004D7108"/>
    <w:rsid w:val="004D76B0"/>
    <w:rsid w:val="004D7B59"/>
    <w:rsid w:val="004E288B"/>
    <w:rsid w:val="004E69D5"/>
    <w:rsid w:val="004F2565"/>
    <w:rsid w:val="004F3D92"/>
    <w:rsid w:val="004F6A63"/>
    <w:rsid w:val="004F7A2F"/>
    <w:rsid w:val="005009E7"/>
    <w:rsid w:val="005018DE"/>
    <w:rsid w:val="0050443E"/>
    <w:rsid w:val="00504DED"/>
    <w:rsid w:val="0050621F"/>
    <w:rsid w:val="005070FD"/>
    <w:rsid w:val="00507A4D"/>
    <w:rsid w:val="00514846"/>
    <w:rsid w:val="00525206"/>
    <w:rsid w:val="005263B3"/>
    <w:rsid w:val="0052745B"/>
    <w:rsid w:val="00527693"/>
    <w:rsid w:val="0052795C"/>
    <w:rsid w:val="00527B3C"/>
    <w:rsid w:val="00532BD5"/>
    <w:rsid w:val="00533BD3"/>
    <w:rsid w:val="00534D9D"/>
    <w:rsid w:val="00535E41"/>
    <w:rsid w:val="00537B1F"/>
    <w:rsid w:val="00541F4F"/>
    <w:rsid w:val="00542C07"/>
    <w:rsid w:val="00543A72"/>
    <w:rsid w:val="00544201"/>
    <w:rsid w:val="00545B3E"/>
    <w:rsid w:val="005477DB"/>
    <w:rsid w:val="00550937"/>
    <w:rsid w:val="00551B0E"/>
    <w:rsid w:val="00555206"/>
    <w:rsid w:val="00560C1E"/>
    <w:rsid w:val="005610FA"/>
    <w:rsid w:val="00562B6A"/>
    <w:rsid w:val="0056304D"/>
    <w:rsid w:val="00564D10"/>
    <w:rsid w:val="00567F84"/>
    <w:rsid w:val="005736F4"/>
    <w:rsid w:val="00574F55"/>
    <w:rsid w:val="0057635B"/>
    <w:rsid w:val="00580AB8"/>
    <w:rsid w:val="0058161D"/>
    <w:rsid w:val="0059065B"/>
    <w:rsid w:val="00593616"/>
    <w:rsid w:val="00593628"/>
    <w:rsid w:val="0059566A"/>
    <w:rsid w:val="00597C60"/>
    <w:rsid w:val="005A40D7"/>
    <w:rsid w:val="005A47A1"/>
    <w:rsid w:val="005A51D1"/>
    <w:rsid w:val="005A5862"/>
    <w:rsid w:val="005A5DE5"/>
    <w:rsid w:val="005A6094"/>
    <w:rsid w:val="005A70E1"/>
    <w:rsid w:val="005A74C7"/>
    <w:rsid w:val="005B08EB"/>
    <w:rsid w:val="005B3F7E"/>
    <w:rsid w:val="005B494F"/>
    <w:rsid w:val="005B7916"/>
    <w:rsid w:val="005C113A"/>
    <w:rsid w:val="005C1CEB"/>
    <w:rsid w:val="005C2319"/>
    <w:rsid w:val="005C4DDC"/>
    <w:rsid w:val="005C4F38"/>
    <w:rsid w:val="005C4F6C"/>
    <w:rsid w:val="005C5286"/>
    <w:rsid w:val="005D01C0"/>
    <w:rsid w:val="005D41E5"/>
    <w:rsid w:val="005D50E8"/>
    <w:rsid w:val="005D7233"/>
    <w:rsid w:val="005D785F"/>
    <w:rsid w:val="005E103F"/>
    <w:rsid w:val="005E2BF5"/>
    <w:rsid w:val="005E3F70"/>
    <w:rsid w:val="005E4807"/>
    <w:rsid w:val="005E52F8"/>
    <w:rsid w:val="005E5474"/>
    <w:rsid w:val="005E63A4"/>
    <w:rsid w:val="005E6541"/>
    <w:rsid w:val="005E6C99"/>
    <w:rsid w:val="005E6E51"/>
    <w:rsid w:val="005F13DA"/>
    <w:rsid w:val="005F2378"/>
    <w:rsid w:val="00600008"/>
    <w:rsid w:val="006013B6"/>
    <w:rsid w:val="00606F07"/>
    <w:rsid w:val="00611362"/>
    <w:rsid w:val="00612035"/>
    <w:rsid w:val="00612A0E"/>
    <w:rsid w:val="00617D4C"/>
    <w:rsid w:val="00621F48"/>
    <w:rsid w:val="006225F0"/>
    <w:rsid w:val="00626D60"/>
    <w:rsid w:val="00626EF4"/>
    <w:rsid w:val="006301DB"/>
    <w:rsid w:val="0063232B"/>
    <w:rsid w:val="00634F6D"/>
    <w:rsid w:val="0063757E"/>
    <w:rsid w:val="00640C11"/>
    <w:rsid w:val="006424C7"/>
    <w:rsid w:val="00644AF5"/>
    <w:rsid w:val="00651609"/>
    <w:rsid w:val="00651BCF"/>
    <w:rsid w:val="00651E7D"/>
    <w:rsid w:val="00653F85"/>
    <w:rsid w:val="006558AC"/>
    <w:rsid w:val="00660F24"/>
    <w:rsid w:val="00661594"/>
    <w:rsid w:val="00661F4C"/>
    <w:rsid w:val="006627D6"/>
    <w:rsid w:val="006657E5"/>
    <w:rsid w:val="006670AE"/>
    <w:rsid w:val="00667EEB"/>
    <w:rsid w:val="00671D3F"/>
    <w:rsid w:val="0067314A"/>
    <w:rsid w:val="00675023"/>
    <w:rsid w:val="0067787E"/>
    <w:rsid w:val="006815D1"/>
    <w:rsid w:val="006846F1"/>
    <w:rsid w:val="00684DD1"/>
    <w:rsid w:val="00685731"/>
    <w:rsid w:val="00692055"/>
    <w:rsid w:val="00694400"/>
    <w:rsid w:val="006A1FC5"/>
    <w:rsid w:val="006A3309"/>
    <w:rsid w:val="006A3386"/>
    <w:rsid w:val="006A3622"/>
    <w:rsid w:val="006A6FA3"/>
    <w:rsid w:val="006A767B"/>
    <w:rsid w:val="006B1468"/>
    <w:rsid w:val="006B4024"/>
    <w:rsid w:val="006B4EDC"/>
    <w:rsid w:val="006B6C1A"/>
    <w:rsid w:val="006B6C73"/>
    <w:rsid w:val="006B798A"/>
    <w:rsid w:val="006C19B4"/>
    <w:rsid w:val="006C1C1F"/>
    <w:rsid w:val="006C3C46"/>
    <w:rsid w:val="006D469D"/>
    <w:rsid w:val="006D6288"/>
    <w:rsid w:val="006D6B7A"/>
    <w:rsid w:val="006E072F"/>
    <w:rsid w:val="006E1CD7"/>
    <w:rsid w:val="006E3DC8"/>
    <w:rsid w:val="006E41B0"/>
    <w:rsid w:val="006F13EE"/>
    <w:rsid w:val="006F6E2B"/>
    <w:rsid w:val="006F6F31"/>
    <w:rsid w:val="00700B38"/>
    <w:rsid w:val="00701069"/>
    <w:rsid w:val="0070443E"/>
    <w:rsid w:val="0070448B"/>
    <w:rsid w:val="007069B1"/>
    <w:rsid w:val="00707023"/>
    <w:rsid w:val="00707284"/>
    <w:rsid w:val="00707D77"/>
    <w:rsid w:val="00711B8D"/>
    <w:rsid w:val="00713757"/>
    <w:rsid w:val="00713DEB"/>
    <w:rsid w:val="00713EF8"/>
    <w:rsid w:val="00714B49"/>
    <w:rsid w:val="00714CF9"/>
    <w:rsid w:val="0071561C"/>
    <w:rsid w:val="00717284"/>
    <w:rsid w:val="00720326"/>
    <w:rsid w:val="00725948"/>
    <w:rsid w:val="0072681B"/>
    <w:rsid w:val="00726887"/>
    <w:rsid w:val="00726941"/>
    <w:rsid w:val="00726DD0"/>
    <w:rsid w:val="0072765D"/>
    <w:rsid w:val="00727CF9"/>
    <w:rsid w:val="00730662"/>
    <w:rsid w:val="00733902"/>
    <w:rsid w:val="007365D1"/>
    <w:rsid w:val="00736F40"/>
    <w:rsid w:val="007376C3"/>
    <w:rsid w:val="00737936"/>
    <w:rsid w:val="00741525"/>
    <w:rsid w:val="0074232E"/>
    <w:rsid w:val="007475D0"/>
    <w:rsid w:val="00747CFC"/>
    <w:rsid w:val="00750955"/>
    <w:rsid w:val="00750EAD"/>
    <w:rsid w:val="00751E9F"/>
    <w:rsid w:val="007632D7"/>
    <w:rsid w:val="00764808"/>
    <w:rsid w:val="00764BA5"/>
    <w:rsid w:val="007652C0"/>
    <w:rsid w:val="00767D6A"/>
    <w:rsid w:val="00770813"/>
    <w:rsid w:val="007712EE"/>
    <w:rsid w:val="0077218E"/>
    <w:rsid w:val="00772883"/>
    <w:rsid w:val="00774739"/>
    <w:rsid w:val="00774C11"/>
    <w:rsid w:val="00782A42"/>
    <w:rsid w:val="00783354"/>
    <w:rsid w:val="0078504B"/>
    <w:rsid w:val="00786162"/>
    <w:rsid w:val="00786D5F"/>
    <w:rsid w:val="007873C6"/>
    <w:rsid w:val="0078760B"/>
    <w:rsid w:val="00793E54"/>
    <w:rsid w:val="007943E0"/>
    <w:rsid w:val="00796522"/>
    <w:rsid w:val="00796CA4"/>
    <w:rsid w:val="00797EF4"/>
    <w:rsid w:val="007A0FAB"/>
    <w:rsid w:val="007A156F"/>
    <w:rsid w:val="007A4FB6"/>
    <w:rsid w:val="007A6941"/>
    <w:rsid w:val="007B0130"/>
    <w:rsid w:val="007B0E51"/>
    <w:rsid w:val="007B48D0"/>
    <w:rsid w:val="007B598E"/>
    <w:rsid w:val="007B7BCC"/>
    <w:rsid w:val="007C33F2"/>
    <w:rsid w:val="007C3A41"/>
    <w:rsid w:val="007C3DE3"/>
    <w:rsid w:val="007C3E18"/>
    <w:rsid w:val="007C6056"/>
    <w:rsid w:val="007C730A"/>
    <w:rsid w:val="007D488A"/>
    <w:rsid w:val="007D6092"/>
    <w:rsid w:val="007D68FE"/>
    <w:rsid w:val="007E0412"/>
    <w:rsid w:val="007E2EEC"/>
    <w:rsid w:val="007E3019"/>
    <w:rsid w:val="007E6328"/>
    <w:rsid w:val="007E6B4D"/>
    <w:rsid w:val="007F2200"/>
    <w:rsid w:val="007F2462"/>
    <w:rsid w:val="007F2AA6"/>
    <w:rsid w:val="007F5AD4"/>
    <w:rsid w:val="007F7C0C"/>
    <w:rsid w:val="00801117"/>
    <w:rsid w:val="0080113A"/>
    <w:rsid w:val="00802469"/>
    <w:rsid w:val="0081190F"/>
    <w:rsid w:val="00812B72"/>
    <w:rsid w:val="00813BCF"/>
    <w:rsid w:val="00813BDA"/>
    <w:rsid w:val="0081421A"/>
    <w:rsid w:val="00814796"/>
    <w:rsid w:val="008150BA"/>
    <w:rsid w:val="0081563A"/>
    <w:rsid w:val="00820BF0"/>
    <w:rsid w:val="00821DF4"/>
    <w:rsid w:val="00822526"/>
    <w:rsid w:val="008241E5"/>
    <w:rsid w:val="008250D2"/>
    <w:rsid w:val="008319C6"/>
    <w:rsid w:val="00832886"/>
    <w:rsid w:val="008349BE"/>
    <w:rsid w:val="0083523F"/>
    <w:rsid w:val="008365E0"/>
    <w:rsid w:val="00836A0B"/>
    <w:rsid w:val="00836F22"/>
    <w:rsid w:val="008372D3"/>
    <w:rsid w:val="00837736"/>
    <w:rsid w:val="00840FC3"/>
    <w:rsid w:val="0084105C"/>
    <w:rsid w:val="00842427"/>
    <w:rsid w:val="00846E08"/>
    <w:rsid w:val="00851C27"/>
    <w:rsid w:val="008553E9"/>
    <w:rsid w:val="008571E2"/>
    <w:rsid w:val="00857F42"/>
    <w:rsid w:val="00863956"/>
    <w:rsid w:val="00864618"/>
    <w:rsid w:val="00867B2D"/>
    <w:rsid w:val="008728B5"/>
    <w:rsid w:val="00874805"/>
    <w:rsid w:val="00883089"/>
    <w:rsid w:val="00884768"/>
    <w:rsid w:val="00886E41"/>
    <w:rsid w:val="00887A73"/>
    <w:rsid w:val="00891F1C"/>
    <w:rsid w:val="008940A2"/>
    <w:rsid w:val="008960B5"/>
    <w:rsid w:val="00896AA1"/>
    <w:rsid w:val="008A011D"/>
    <w:rsid w:val="008A1B0C"/>
    <w:rsid w:val="008A247A"/>
    <w:rsid w:val="008A2C55"/>
    <w:rsid w:val="008A6C77"/>
    <w:rsid w:val="008B6E1A"/>
    <w:rsid w:val="008B6F8F"/>
    <w:rsid w:val="008C0398"/>
    <w:rsid w:val="008C050C"/>
    <w:rsid w:val="008C1344"/>
    <w:rsid w:val="008C2C0A"/>
    <w:rsid w:val="008C390F"/>
    <w:rsid w:val="008D5EF6"/>
    <w:rsid w:val="008D6D5D"/>
    <w:rsid w:val="008D73A9"/>
    <w:rsid w:val="008E1A22"/>
    <w:rsid w:val="008E272A"/>
    <w:rsid w:val="008E2DB6"/>
    <w:rsid w:val="008E5456"/>
    <w:rsid w:val="008E7962"/>
    <w:rsid w:val="008F0D9B"/>
    <w:rsid w:val="008F380A"/>
    <w:rsid w:val="008F4139"/>
    <w:rsid w:val="008F67F2"/>
    <w:rsid w:val="00901F4D"/>
    <w:rsid w:val="00902DF3"/>
    <w:rsid w:val="0090369E"/>
    <w:rsid w:val="00904223"/>
    <w:rsid w:val="00910FC7"/>
    <w:rsid w:val="009144EF"/>
    <w:rsid w:val="00920A53"/>
    <w:rsid w:val="00923DCD"/>
    <w:rsid w:val="00924921"/>
    <w:rsid w:val="009250E2"/>
    <w:rsid w:val="00926944"/>
    <w:rsid w:val="00926DF2"/>
    <w:rsid w:val="00927793"/>
    <w:rsid w:val="0092782F"/>
    <w:rsid w:val="009309DA"/>
    <w:rsid w:val="009319A5"/>
    <w:rsid w:val="009326E6"/>
    <w:rsid w:val="00934341"/>
    <w:rsid w:val="009354B1"/>
    <w:rsid w:val="00935D99"/>
    <w:rsid w:val="00937244"/>
    <w:rsid w:val="00937466"/>
    <w:rsid w:val="0093780D"/>
    <w:rsid w:val="009419B2"/>
    <w:rsid w:val="00941DDB"/>
    <w:rsid w:val="00942B24"/>
    <w:rsid w:val="00943268"/>
    <w:rsid w:val="00944804"/>
    <w:rsid w:val="0095008F"/>
    <w:rsid w:val="00953915"/>
    <w:rsid w:val="00953BD4"/>
    <w:rsid w:val="00955E8F"/>
    <w:rsid w:val="00957230"/>
    <w:rsid w:val="009642B3"/>
    <w:rsid w:val="00967814"/>
    <w:rsid w:val="009720A8"/>
    <w:rsid w:val="00972D31"/>
    <w:rsid w:val="00973139"/>
    <w:rsid w:val="00976673"/>
    <w:rsid w:val="00980888"/>
    <w:rsid w:val="00980DDE"/>
    <w:rsid w:val="00981480"/>
    <w:rsid w:val="00981F56"/>
    <w:rsid w:val="0098219E"/>
    <w:rsid w:val="00986402"/>
    <w:rsid w:val="00991086"/>
    <w:rsid w:val="00992472"/>
    <w:rsid w:val="009929F6"/>
    <w:rsid w:val="009961D6"/>
    <w:rsid w:val="00997CF7"/>
    <w:rsid w:val="009A00F9"/>
    <w:rsid w:val="009A2431"/>
    <w:rsid w:val="009A4F62"/>
    <w:rsid w:val="009A50F2"/>
    <w:rsid w:val="009A560A"/>
    <w:rsid w:val="009B0EAE"/>
    <w:rsid w:val="009B20B4"/>
    <w:rsid w:val="009B243F"/>
    <w:rsid w:val="009B3FF1"/>
    <w:rsid w:val="009B49D9"/>
    <w:rsid w:val="009C0D5B"/>
    <w:rsid w:val="009C12E8"/>
    <w:rsid w:val="009C3177"/>
    <w:rsid w:val="009C5C99"/>
    <w:rsid w:val="009D2B14"/>
    <w:rsid w:val="009D3F98"/>
    <w:rsid w:val="009D482A"/>
    <w:rsid w:val="009D4EC6"/>
    <w:rsid w:val="009D5612"/>
    <w:rsid w:val="009D6186"/>
    <w:rsid w:val="009D7D7E"/>
    <w:rsid w:val="009E4113"/>
    <w:rsid w:val="009F00B3"/>
    <w:rsid w:val="009F06FC"/>
    <w:rsid w:val="009F12FC"/>
    <w:rsid w:val="009F2021"/>
    <w:rsid w:val="009F22CA"/>
    <w:rsid w:val="009F3B90"/>
    <w:rsid w:val="00A02A24"/>
    <w:rsid w:val="00A02C0F"/>
    <w:rsid w:val="00A02E58"/>
    <w:rsid w:val="00A034E9"/>
    <w:rsid w:val="00A064ED"/>
    <w:rsid w:val="00A17EB1"/>
    <w:rsid w:val="00A20267"/>
    <w:rsid w:val="00A20F61"/>
    <w:rsid w:val="00A2268D"/>
    <w:rsid w:val="00A22F1A"/>
    <w:rsid w:val="00A24DC3"/>
    <w:rsid w:val="00A256E8"/>
    <w:rsid w:val="00A273C3"/>
    <w:rsid w:val="00A27C60"/>
    <w:rsid w:val="00A30A34"/>
    <w:rsid w:val="00A31464"/>
    <w:rsid w:val="00A31930"/>
    <w:rsid w:val="00A36FE7"/>
    <w:rsid w:val="00A45B3A"/>
    <w:rsid w:val="00A47A15"/>
    <w:rsid w:val="00A50582"/>
    <w:rsid w:val="00A5058E"/>
    <w:rsid w:val="00A5064D"/>
    <w:rsid w:val="00A5118B"/>
    <w:rsid w:val="00A51DF3"/>
    <w:rsid w:val="00A52056"/>
    <w:rsid w:val="00A53A6E"/>
    <w:rsid w:val="00A53A8E"/>
    <w:rsid w:val="00A55595"/>
    <w:rsid w:val="00A567FF"/>
    <w:rsid w:val="00A60369"/>
    <w:rsid w:val="00A648EC"/>
    <w:rsid w:val="00A66F1E"/>
    <w:rsid w:val="00A66FFB"/>
    <w:rsid w:val="00A75123"/>
    <w:rsid w:val="00A77A6C"/>
    <w:rsid w:val="00A82076"/>
    <w:rsid w:val="00A85415"/>
    <w:rsid w:val="00A85845"/>
    <w:rsid w:val="00A87ADF"/>
    <w:rsid w:val="00A90CE7"/>
    <w:rsid w:val="00A910DC"/>
    <w:rsid w:val="00A91305"/>
    <w:rsid w:val="00A95F34"/>
    <w:rsid w:val="00AA0F01"/>
    <w:rsid w:val="00AA4440"/>
    <w:rsid w:val="00AA4A06"/>
    <w:rsid w:val="00AB1BE3"/>
    <w:rsid w:val="00AB313E"/>
    <w:rsid w:val="00AB6526"/>
    <w:rsid w:val="00AC0F0F"/>
    <w:rsid w:val="00AE1CB5"/>
    <w:rsid w:val="00AE3D22"/>
    <w:rsid w:val="00AE42FB"/>
    <w:rsid w:val="00AE56B6"/>
    <w:rsid w:val="00AE5B01"/>
    <w:rsid w:val="00AE7D74"/>
    <w:rsid w:val="00AF5798"/>
    <w:rsid w:val="00AF6BE8"/>
    <w:rsid w:val="00AF7D4D"/>
    <w:rsid w:val="00B00261"/>
    <w:rsid w:val="00B02132"/>
    <w:rsid w:val="00B02F09"/>
    <w:rsid w:val="00B0391D"/>
    <w:rsid w:val="00B04817"/>
    <w:rsid w:val="00B07EDC"/>
    <w:rsid w:val="00B100E5"/>
    <w:rsid w:val="00B13B02"/>
    <w:rsid w:val="00B17201"/>
    <w:rsid w:val="00B20021"/>
    <w:rsid w:val="00B23450"/>
    <w:rsid w:val="00B2548E"/>
    <w:rsid w:val="00B256C5"/>
    <w:rsid w:val="00B256EA"/>
    <w:rsid w:val="00B2771F"/>
    <w:rsid w:val="00B30F31"/>
    <w:rsid w:val="00B310E3"/>
    <w:rsid w:val="00B31230"/>
    <w:rsid w:val="00B314C2"/>
    <w:rsid w:val="00B31B32"/>
    <w:rsid w:val="00B32A67"/>
    <w:rsid w:val="00B33D3D"/>
    <w:rsid w:val="00B33D55"/>
    <w:rsid w:val="00B34193"/>
    <w:rsid w:val="00B41904"/>
    <w:rsid w:val="00B438F0"/>
    <w:rsid w:val="00B44933"/>
    <w:rsid w:val="00B526DD"/>
    <w:rsid w:val="00B53E71"/>
    <w:rsid w:val="00B54C4A"/>
    <w:rsid w:val="00B55836"/>
    <w:rsid w:val="00B620CF"/>
    <w:rsid w:val="00B62C35"/>
    <w:rsid w:val="00B63954"/>
    <w:rsid w:val="00B63EED"/>
    <w:rsid w:val="00B65B83"/>
    <w:rsid w:val="00B6683D"/>
    <w:rsid w:val="00B66900"/>
    <w:rsid w:val="00B67EA7"/>
    <w:rsid w:val="00B70FC0"/>
    <w:rsid w:val="00B73A39"/>
    <w:rsid w:val="00B74556"/>
    <w:rsid w:val="00B8331F"/>
    <w:rsid w:val="00B842A8"/>
    <w:rsid w:val="00B84520"/>
    <w:rsid w:val="00B84C48"/>
    <w:rsid w:val="00B8728C"/>
    <w:rsid w:val="00B91F55"/>
    <w:rsid w:val="00B92AEB"/>
    <w:rsid w:val="00B95DD4"/>
    <w:rsid w:val="00B96114"/>
    <w:rsid w:val="00B96289"/>
    <w:rsid w:val="00BA0391"/>
    <w:rsid w:val="00BA0461"/>
    <w:rsid w:val="00BA1650"/>
    <w:rsid w:val="00BA1A18"/>
    <w:rsid w:val="00BA2123"/>
    <w:rsid w:val="00BA5027"/>
    <w:rsid w:val="00BA58D7"/>
    <w:rsid w:val="00BA5F2B"/>
    <w:rsid w:val="00BA637B"/>
    <w:rsid w:val="00BA695B"/>
    <w:rsid w:val="00BB08D7"/>
    <w:rsid w:val="00BB20BB"/>
    <w:rsid w:val="00BB2382"/>
    <w:rsid w:val="00BB31AE"/>
    <w:rsid w:val="00BB36B6"/>
    <w:rsid w:val="00BB4230"/>
    <w:rsid w:val="00BC08A7"/>
    <w:rsid w:val="00BC1660"/>
    <w:rsid w:val="00BC2414"/>
    <w:rsid w:val="00BC2D3B"/>
    <w:rsid w:val="00BC3C6D"/>
    <w:rsid w:val="00BC50B9"/>
    <w:rsid w:val="00BC58BA"/>
    <w:rsid w:val="00BC69F4"/>
    <w:rsid w:val="00BC7BEE"/>
    <w:rsid w:val="00BD1FD5"/>
    <w:rsid w:val="00BD20EF"/>
    <w:rsid w:val="00BD2A61"/>
    <w:rsid w:val="00BD625F"/>
    <w:rsid w:val="00BE243F"/>
    <w:rsid w:val="00BE2B2C"/>
    <w:rsid w:val="00BE68F6"/>
    <w:rsid w:val="00BE73FD"/>
    <w:rsid w:val="00BF1DF6"/>
    <w:rsid w:val="00BF25B4"/>
    <w:rsid w:val="00BF4733"/>
    <w:rsid w:val="00BF49C5"/>
    <w:rsid w:val="00BF4C00"/>
    <w:rsid w:val="00BF4D40"/>
    <w:rsid w:val="00C030B5"/>
    <w:rsid w:val="00C10107"/>
    <w:rsid w:val="00C14020"/>
    <w:rsid w:val="00C157F5"/>
    <w:rsid w:val="00C169CB"/>
    <w:rsid w:val="00C2362D"/>
    <w:rsid w:val="00C26EC2"/>
    <w:rsid w:val="00C27A63"/>
    <w:rsid w:val="00C300B5"/>
    <w:rsid w:val="00C31319"/>
    <w:rsid w:val="00C31933"/>
    <w:rsid w:val="00C31F08"/>
    <w:rsid w:val="00C32F4B"/>
    <w:rsid w:val="00C3374C"/>
    <w:rsid w:val="00C33F19"/>
    <w:rsid w:val="00C35A42"/>
    <w:rsid w:val="00C36859"/>
    <w:rsid w:val="00C374AB"/>
    <w:rsid w:val="00C41495"/>
    <w:rsid w:val="00C417E0"/>
    <w:rsid w:val="00C41FB6"/>
    <w:rsid w:val="00C42255"/>
    <w:rsid w:val="00C42593"/>
    <w:rsid w:val="00C464E6"/>
    <w:rsid w:val="00C500CD"/>
    <w:rsid w:val="00C558A0"/>
    <w:rsid w:val="00C559E9"/>
    <w:rsid w:val="00C56401"/>
    <w:rsid w:val="00C5652F"/>
    <w:rsid w:val="00C5795C"/>
    <w:rsid w:val="00C57A8A"/>
    <w:rsid w:val="00C61596"/>
    <w:rsid w:val="00C618C6"/>
    <w:rsid w:val="00C65098"/>
    <w:rsid w:val="00C65F49"/>
    <w:rsid w:val="00C672DB"/>
    <w:rsid w:val="00C7008B"/>
    <w:rsid w:val="00C71905"/>
    <w:rsid w:val="00C75913"/>
    <w:rsid w:val="00C811D3"/>
    <w:rsid w:val="00C84BF2"/>
    <w:rsid w:val="00C85265"/>
    <w:rsid w:val="00C90C58"/>
    <w:rsid w:val="00C92D4A"/>
    <w:rsid w:val="00C93E8C"/>
    <w:rsid w:val="00C94B68"/>
    <w:rsid w:val="00C96218"/>
    <w:rsid w:val="00C96CF2"/>
    <w:rsid w:val="00CA0A3C"/>
    <w:rsid w:val="00CA0C4E"/>
    <w:rsid w:val="00CA16A6"/>
    <w:rsid w:val="00CA3732"/>
    <w:rsid w:val="00CA397C"/>
    <w:rsid w:val="00CA5BA9"/>
    <w:rsid w:val="00CA6D70"/>
    <w:rsid w:val="00CA7E6B"/>
    <w:rsid w:val="00CB217C"/>
    <w:rsid w:val="00CB22C7"/>
    <w:rsid w:val="00CB2FD4"/>
    <w:rsid w:val="00CB453A"/>
    <w:rsid w:val="00CB6B48"/>
    <w:rsid w:val="00CB7E96"/>
    <w:rsid w:val="00CC5FE3"/>
    <w:rsid w:val="00CC6BF4"/>
    <w:rsid w:val="00CD207D"/>
    <w:rsid w:val="00CD2C5B"/>
    <w:rsid w:val="00CD5F1D"/>
    <w:rsid w:val="00CD6210"/>
    <w:rsid w:val="00CE1FD9"/>
    <w:rsid w:val="00CE416C"/>
    <w:rsid w:val="00CE4385"/>
    <w:rsid w:val="00CE5CEF"/>
    <w:rsid w:val="00CE5E6C"/>
    <w:rsid w:val="00CF2C47"/>
    <w:rsid w:val="00CF45EF"/>
    <w:rsid w:val="00CF4BFF"/>
    <w:rsid w:val="00CF50FB"/>
    <w:rsid w:val="00CF6199"/>
    <w:rsid w:val="00D040E7"/>
    <w:rsid w:val="00D04FCA"/>
    <w:rsid w:val="00D06436"/>
    <w:rsid w:val="00D10801"/>
    <w:rsid w:val="00D13488"/>
    <w:rsid w:val="00D14E28"/>
    <w:rsid w:val="00D220C6"/>
    <w:rsid w:val="00D25A87"/>
    <w:rsid w:val="00D32173"/>
    <w:rsid w:val="00D3412B"/>
    <w:rsid w:val="00D34938"/>
    <w:rsid w:val="00D376BF"/>
    <w:rsid w:val="00D40774"/>
    <w:rsid w:val="00D40FCF"/>
    <w:rsid w:val="00D42D9D"/>
    <w:rsid w:val="00D443C2"/>
    <w:rsid w:val="00D50BC4"/>
    <w:rsid w:val="00D51C2D"/>
    <w:rsid w:val="00D5526A"/>
    <w:rsid w:val="00D57C46"/>
    <w:rsid w:val="00D60C66"/>
    <w:rsid w:val="00D66C1F"/>
    <w:rsid w:val="00D67459"/>
    <w:rsid w:val="00D720E0"/>
    <w:rsid w:val="00D724DE"/>
    <w:rsid w:val="00D773D4"/>
    <w:rsid w:val="00D838F4"/>
    <w:rsid w:val="00D85C3B"/>
    <w:rsid w:val="00D900C6"/>
    <w:rsid w:val="00D903F2"/>
    <w:rsid w:val="00D953D5"/>
    <w:rsid w:val="00D95C0E"/>
    <w:rsid w:val="00DA0BEB"/>
    <w:rsid w:val="00DA545B"/>
    <w:rsid w:val="00DA6737"/>
    <w:rsid w:val="00DA7B46"/>
    <w:rsid w:val="00DB042D"/>
    <w:rsid w:val="00DB09CF"/>
    <w:rsid w:val="00DB2100"/>
    <w:rsid w:val="00DB40BF"/>
    <w:rsid w:val="00DC077D"/>
    <w:rsid w:val="00DC0A7B"/>
    <w:rsid w:val="00DC1846"/>
    <w:rsid w:val="00DC3626"/>
    <w:rsid w:val="00DC6E1F"/>
    <w:rsid w:val="00DD275B"/>
    <w:rsid w:val="00DD2E5C"/>
    <w:rsid w:val="00DD484D"/>
    <w:rsid w:val="00DD659A"/>
    <w:rsid w:val="00DD7844"/>
    <w:rsid w:val="00DE1C8F"/>
    <w:rsid w:val="00DE21CC"/>
    <w:rsid w:val="00DE2C16"/>
    <w:rsid w:val="00DE36F1"/>
    <w:rsid w:val="00DE4E97"/>
    <w:rsid w:val="00DE63BD"/>
    <w:rsid w:val="00DF1325"/>
    <w:rsid w:val="00DF334E"/>
    <w:rsid w:val="00E004EF"/>
    <w:rsid w:val="00E00B03"/>
    <w:rsid w:val="00E04FFD"/>
    <w:rsid w:val="00E05499"/>
    <w:rsid w:val="00E06E26"/>
    <w:rsid w:val="00E07C08"/>
    <w:rsid w:val="00E133E4"/>
    <w:rsid w:val="00E22617"/>
    <w:rsid w:val="00E2608D"/>
    <w:rsid w:val="00E358CC"/>
    <w:rsid w:val="00E36D32"/>
    <w:rsid w:val="00E3736F"/>
    <w:rsid w:val="00E37D6F"/>
    <w:rsid w:val="00E411BB"/>
    <w:rsid w:val="00E4127A"/>
    <w:rsid w:val="00E41994"/>
    <w:rsid w:val="00E419F6"/>
    <w:rsid w:val="00E427C2"/>
    <w:rsid w:val="00E42989"/>
    <w:rsid w:val="00E44C95"/>
    <w:rsid w:val="00E459F9"/>
    <w:rsid w:val="00E507AC"/>
    <w:rsid w:val="00E51502"/>
    <w:rsid w:val="00E51E44"/>
    <w:rsid w:val="00E55F99"/>
    <w:rsid w:val="00E569AC"/>
    <w:rsid w:val="00E62F9B"/>
    <w:rsid w:val="00E65EB4"/>
    <w:rsid w:val="00E7004D"/>
    <w:rsid w:val="00E74270"/>
    <w:rsid w:val="00E82455"/>
    <w:rsid w:val="00E840BB"/>
    <w:rsid w:val="00E9396D"/>
    <w:rsid w:val="00E93E8D"/>
    <w:rsid w:val="00E94258"/>
    <w:rsid w:val="00E94775"/>
    <w:rsid w:val="00E94E0F"/>
    <w:rsid w:val="00EA120F"/>
    <w:rsid w:val="00EA4BF0"/>
    <w:rsid w:val="00EA4FE2"/>
    <w:rsid w:val="00EA756B"/>
    <w:rsid w:val="00EB461E"/>
    <w:rsid w:val="00EB4B2A"/>
    <w:rsid w:val="00EB72DB"/>
    <w:rsid w:val="00EC0818"/>
    <w:rsid w:val="00EC0EEC"/>
    <w:rsid w:val="00EC1461"/>
    <w:rsid w:val="00EC3A4A"/>
    <w:rsid w:val="00EC4C31"/>
    <w:rsid w:val="00EC770B"/>
    <w:rsid w:val="00ED076D"/>
    <w:rsid w:val="00ED08E2"/>
    <w:rsid w:val="00ED0CAB"/>
    <w:rsid w:val="00ED7FB8"/>
    <w:rsid w:val="00EE217C"/>
    <w:rsid w:val="00EE3410"/>
    <w:rsid w:val="00EE5167"/>
    <w:rsid w:val="00EE67DC"/>
    <w:rsid w:val="00EF0B8F"/>
    <w:rsid w:val="00EF2789"/>
    <w:rsid w:val="00EF5433"/>
    <w:rsid w:val="00EF6287"/>
    <w:rsid w:val="00EF6AB4"/>
    <w:rsid w:val="00EF6C25"/>
    <w:rsid w:val="00F0034A"/>
    <w:rsid w:val="00F00A04"/>
    <w:rsid w:val="00F018E2"/>
    <w:rsid w:val="00F0242D"/>
    <w:rsid w:val="00F03BDC"/>
    <w:rsid w:val="00F04286"/>
    <w:rsid w:val="00F05F16"/>
    <w:rsid w:val="00F103F1"/>
    <w:rsid w:val="00F11C20"/>
    <w:rsid w:val="00F11C5B"/>
    <w:rsid w:val="00F134B1"/>
    <w:rsid w:val="00F13BCC"/>
    <w:rsid w:val="00F13CA2"/>
    <w:rsid w:val="00F15D5D"/>
    <w:rsid w:val="00F1600E"/>
    <w:rsid w:val="00F21E0F"/>
    <w:rsid w:val="00F21E5E"/>
    <w:rsid w:val="00F24F76"/>
    <w:rsid w:val="00F25B2B"/>
    <w:rsid w:val="00F31E0A"/>
    <w:rsid w:val="00F32032"/>
    <w:rsid w:val="00F34F7B"/>
    <w:rsid w:val="00F35C4E"/>
    <w:rsid w:val="00F35C5F"/>
    <w:rsid w:val="00F366DF"/>
    <w:rsid w:val="00F3686F"/>
    <w:rsid w:val="00F403C6"/>
    <w:rsid w:val="00F415F3"/>
    <w:rsid w:val="00F470BB"/>
    <w:rsid w:val="00F50755"/>
    <w:rsid w:val="00F50C13"/>
    <w:rsid w:val="00F51758"/>
    <w:rsid w:val="00F565DB"/>
    <w:rsid w:val="00F57593"/>
    <w:rsid w:val="00F578AA"/>
    <w:rsid w:val="00F60E50"/>
    <w:rsid w:val="00F61336"/>
    <w:rsid w:val="00F6317E"/>
    <w:rsid w:val="00F63A15"/>
    <w:rsid w:val="00F66A88"/>
    <w:rsid w:val="00F714CD"/>
    <w:rsid w:val="00F725C0"/>
    <w:rsid w:val="00F72A16"/>
    <w:rsid w:val="00F731FB"/>
    <w:rsid w:val="00F73832"/>
    <w:rsid w:val="00F7524D"/>
    <w:rsid w:val="00F77803"/>
    <w:rsid w:val="00F82BB6"/>
    <w:rsid w:val="00F83644"/>
    <w:rsid w:val="00F858B2"/>
    <w:rsid w:val="00F94233"/>
    <w:rsid w:val="00F958BE"/>
    <w:rsid w:val="00F95D0B"/>
    <w:rsid w:val="00F97A43"/>
    <w:rsid w:val="00F97D2B"/>
    <w:rsid w:val="00FA18B2"/>
    <w:rsid w:val="00FA5B47"/>
    <w:rsid w:val="00FA7037"/>
    <w:rsid w:val="00FB22FE"/>
    <w:rsid w:val="00FB343C"/>
    <w:rsid w:val="00FB48EE"/>
    <w:rsid w:val="00FB4AB7"/>
    <w:rsid w:val="00FB5250"/>
    <w:rsid w:val="00FB753C"/>
    <w:rsid w:val="00FC0B90"/>
    <w:rsid w:val="00FC0CD8"/>
    <w:rsid w:val="00FC4301"/>
    <w:rsid w:val="00FC4539"/>
    <w:rsid w:val="00FC5C90"/>
    <w:rsid w:val="00FC799F"/>
    <w:rsid w:val="00FD1341"/>
    <w:rsid w:val="00FD21DF"/>
    <w:rsid w:val="00FD628D"/>
    <w:rsid w:val="00FD6815"/>
    <w:rsid w:val="00FE3172"/>
    <w:rsid w:val="00FE553B"/>
    <w:rsid w:val="00FE636D"/>
    <w:rsid w:val="00FF0DC3"/>
    <w:rsid w:val="00FF1D2F"/>
    <w:rsid w:val="00FF39BA"/>
    <w:rsid w:val="00FF48A0"/>
    <w:rsid w:val="00FF4EEA"/>
    <w:rsid w:val="00FF52FD"/>
    <w:rsid w:val="00FF61FA"/>
    <w:rsid w:val="00F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BC2D3B"/>
    <w:rPr>
      <w:color w:val="0000FF"/>
      <w:sz w:val="28"/>
      <w:szCs w:val="2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EA120F"/>
    <w:pPr>
      <w:spacing w:before="100" w:beforeAutospacing="1" w:after="100" w:afterAutospacing="1"/>
    </w:pPr>
    <w:rPr>
      <w:sz w:val="24"/>
      <w:szCs w:val="24"/>
    </w:rPr>
  </w:style>
  <w:style w:type="table" w:styleId="LiBang">
    <w:name w:val="Table Grid"/>
    <w:basedOn w:val="BangThngthng"/>
    <w:uiPriority w:val="59"/>
    <w:rsid w:val="00AE42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hntrang">
    <w:name w:val="footer"/>
    <w:basedOn w:val="Binhthng"/>
    <w:link w:val="ChntrangChar"/>
    <w:uiPriority w:val="99"/>
    <w:rsid w:val="00E459F9"/>
    <w:pPr>
      <w:tabs>
        <w:tab w:val="center" w:pos="4320"/>
        <w:tab w:val="right" w:pos="8640"/>
      </w:tabs>
    </w:pPr>
    <w:rPr>
      <w:rFonts w:ascii=".VnTime" w:eastAsia="Times New Roman" w:hAnsi=".VnTime"/>
      <w:color w:val="auto"/>
      <w:lang/>
    </w:rPr>
  </w:style>
  <w:style w:type="character" w:styleId="Shiutrang">
    <w:name w:val="page number"/>
    <w:basedOn w:val="Phngmcnhcaonvn"/>
    <w:rsid w:val="00E459F9"/>
  </w:style>
  <w:style w:type="paragraph" w:styleId="utrang">
    <w:name w:val="header"/>
    <w:basedOn w:val="Binhthng"/>
    <w:link w:val="utrangChar"/>
    <w:uiPriority w:val="99"/>
    <w:unhideWhenUsed/>
    <w:rsid w:val="00CA0A3C"/>
    <w:pPr>
      <w:tabs>
        <w:tab w:val="center" w:pos="4680"/>
        <w:tab w:val="right" w:pos="9360"/>
      </w:tabs>
    </w:pPr>
    <w:rPr>
      <w:rFonts w:ascii=".VnTime" w:eastAsia="Times New Roman" w:hAnsi=".VnTime"/>
      <w:color w:val="auto"/>
      <w:lang/>
    </w:rPr>
  </w:style>
  <w:style w:type="character" w:customStyle="1" w:styleId="utrangChar">
    <w:name w:val="Đầu trang Char"/>
    <w:link w:val="utrang"/>
    <w:uiPriority w:val="99"/>
    <w:rsid w:val="00CA0A3C"/>
    <w:rPr>
      <w:rFonts w:ascii=".VnTime" w:eastAsia="Times New Roman" w:hAnsi=".VnTime"/>
      <w:sz w:val="28"/>
      <w:szCs w:val="28"/>
    </w:rPr>
  </w:style>
  <w:style w:type="paragraph" w:styleId="Vnbanccch">
    <w:name w:val="footnote text"/>
    <w:aliases w:val="Footnote Text Char Char Char Char Char,Footnote Text Char Char Char Char Char Char Ch Char,Footnote Text Char Char Char Char Char Char Ch Char Char Char,Footnote Text Char Char Char Char Char Char Ch Char Char Char Char Char Char C,fn"/>
    <w:basedOn w:val="Binhthng"/>
    <w:link w:val="VnbanccchChar"/>
    <w:uiPriority w:val="99"/>
    <w:qFormat/>
    <w:rsid w:val="00C90C58"/>
    <w:rPr>
      <w:rFonts w:ascii=".VnTime" w:eastAsia="Times New Roman" w:hAnsi=".VnTime"/>
      <w:color w:val="auto"/>
      <w:sz w:val="20"/>
      <w:szCs w:val="20"/>
      <w:lang/>
    </w:rPr>
  </w:style>
  <w:style w:type="character" w:styleId="Siunikt">
    <w:name w:val="Hyperlink"/>
    <w:rsid w:val="00A910DC"/>
    <w:rPr>
      <w:color w:val="0000FF"/>
      <w:u w:val="single"/>
    </w:rPr>
  </w:style>
  <w:style w:type="character" w:customStyle="1" w:styleId="apple-converted-space">
    <w:name w:val="apple-converted-space"/>
    <w:rsid w:val="00A910DC"/>
  </w:style>
  <w:style w:type="character" w:styleId="Nhnmnh">
    <w:name w:val="Emphasis"/>
    <w:qFormat/>
    <w:rsid w:val="00A910DC"/>
    <w:rPr>
      <w:i/>
      <w:iCs/>
    </w:rPr>
  </w:style>
  <w:style w:type="character" w:styleId="Thamchiuccch">
    <w:name w:val="footnote reference"/>
    <w:aliases w:val="Ref,de nota al pie,Footnote,Footnote text,ftref,BearingPoint,16 Point,Superscript 6 Point,fr,Footnote Text1,f,Footnote + Arial,10 pt,Black,Footnote Text11,(NECG) Footnote Reference,BVI fnr,footnote ref,Footnote text + 13 pt,Re,SUPERS"/>
    <w:link w:val="FootnotetextChar1"/>
    <w:uiPriority w:val="99"/>
    <w:qFormat/>
    <w:rsid w:val="00A910DC"/>
    <w:rPr>
      <w:vertAlign w:val="superscript"/>
    </w:rPr>
  </w:style>
  <w:style w:type="character" w:customStyle="1" w:styleId="VnbanccchChar">
    <w:name w:val="Văn bản cước chú Char"/>
    <w:aliases w:val="Footnote Text Char Char Char Char Char Char,Footnote Text Char Char Char Char Char Char Ch Char Char,Footnote Text Char Char Char Char Char Char Ch Char Char Char Char,fn Char"/>
    <w:link w:val="Vnbanccch"/>
    <w:uiPriority w:val="99"/>
    <w:qFormat/>
    <w:rsid w:val="00A910DC"/>
    <w:rPr>
      <w:rFonts w:ascii=".VnTime" w:eastAsia="Times New Roman" w:hAnsi=".VnTime"/>
    </w:rPr>
  </w:style>
  <w:style w:type="character" w:customStyle="1" w:styleId="ChntrangChar">
    <w:name w:val="Chân trang Char"/>
    <w:link w:val="Chntrang"/>
    <w:uiPriority w:val="99"/>
    <w:rsid w:val="00225F2C"/>
    <w:rPr>
      <w:rFonts w:ascii=".VnTime" w:eastAsia="Times New Roman" w:hAnsi=".VnTime"/>
      <w:sz w:val="28"/>
      <w:szCs w:val="28"/>
    </w:rPr>
  </w:style>
  <w:style w:type="paragraph" w:styleId="Bngchthch">
    <w:name w:val="Balloon Text"/>
    <w:basedOn w:val="Binhthng"/>
    <w:link w:val="BngchthchChar"/>
    <w:uiPriority w:val="99"/>
    <w:semiHidden/>
    <w:unhideWhenUsed/>
    <w:rsid w:val="00651E7D"/>
    <w:rPr>
      <w:rFonts w:ascii="Segoe UI" w:eastAsia="Times New Roman" w:hAnsi="Segoe UI"/>
      <w:color w:val="auto"/>
      <w:sz w:val="18"/>
      <w:szCs w:val="18"/>
      <w:lang/>
    </w:rPr>
  </w:style>
  <w:style w:type="character" w:customStyle="1" w:styleId="BngchthchChar">
    <w:name w:val="Bóng chú thích Char"/>
    <w:link w:val="Bngchthch"/>
    <w:uiPriority w:val="99"/>
    <w:semiHidden/>
    <w:rsid w:val="00651E7D"/>
    <w:rPr>
      <w:rFonts w:ascii="Segoe UI" w:eastAsia="Times New Roman" w:hAnsi="Segoe UI" w:cs="Segoe UI"/>
      <w:sz w:val="18"/>
      <w:szCs w:val="18"/>
    </w:rPr>
  </w:style>
  <w:style w:type="character" w:customStyle="1" w:styleId="fontstyle01">
    <w:name w:val="fontstyle01"/>
    <w:rsid w:val="00F11C5B"/>
    <w:rPr>
      <w:rFonts w:ascii="Times New Roman" w:hAnsi="Times New Roman" w:cs="Times New Roman" w:hint="default"/>
      <w:b w:val="0"/>
      <w:bCs w:val="0"/>
      <w:i w:val="0"/>
      <w:iCs w:val="0"/>
      <w:color w:val="000000"/>
      <w:sz w:val="28"/>
      <w:szCs w:val="28"/>
    </w:rPr>
  </w:style>
  <w:style w:type="paragraph" w:styleId="oncaDanhsch">
    <w:name w:val="List Paragraph"/>
    <w:basedOn w:val="Binhthng"/>
    <w:uiPriority w:val="34"/>
    <w:qFormat/>
    <w:rsid w:val="00B55836"/>
    <w:pPr>
      <w:spacing w:line="324" w:lineRule="auto"/>
      <w:ind w:left="720"/>
      <w:contextualSpacing/>
    </w:pPr>
    <w:rPr>
      <w:color w:val="auto"/>
    </w:rPr>
  </w:style>
  <w:style w:type="paragraph" w:customStyle="1" w:styleId="Default">
    <w:name w:val="Default"/>
    <w:rsid w:val="00764BA5"/>
    <w:pPr>
      <w:autoSpaceDE w:val="0"/>
      <w:autoSpaceDN w:val="0"/>
      <w:adjustRightInd w:val="0"/>
    </w:pPr>
    <w:rPr>
      <w:color w:val="000000"/>
      <w:sz w:val="24"/>
      <w:szCs w:val="24"/>
    </w:rPr>
  </w:style>
  <w:style w:type="paragraph" w:customStyle="1" w:styleId="FootnotetextChar1">
    <w:name w:val="Footnote text Char1"/>
    <w:basedOn w:val="Binhthng"/>
    <w:link w:val="Thamchiuccch"/>
    <w:uiPriority w:val="99"/>
    <w:qFormat/>
    <w:rsid w:val="00097549"/>
    <w:pPr>
      <w:spacing w:after="160" w:line="240" w:lineRule="exact"/>
    </w:pPr>
    <w:rPr>
      <w:color w:val="auto"/>
      <w:sz w:val="20"/>
      <w:szCs w:val="20"/>
      <w:vertAlign w:val="superscript"/>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BC2D3B"/>
    <w:rPr>
      <w:color w:val="0000FF"/>
      <w:sz w:val="28"/>
      <w:szCs w:val="2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EA120F"/>
    <w:pPr>
      <w:spacing w:before="100" w:beforeAutospacing="1" w:after="100" w:afterAutospacing="1"/>
    </w:pPr>
    <w:rPr>
      <w:sz w:val="24"/>
      <w:szCs w:val="24"/>
    </w:rPr>
  </w:style>
  <w:style w:type="table" w:styleId="LiBang">
    <w:name w:val="Table Grid"/>
    <w:basedOn w:val="BangThngthng"/>
    <w:uiPriority w:val="59"/>
    <w:rsid w:val="00AE42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hntrang">
    <w:name w:val="footer"/>
    <w:basedOn w:val="Binhthng"/>
    <w:link w:val="ChntrangChar"/>
    <w:uiPriority w:val="99"/>
    <w:rsid w:val="00E459F9"/>
    <w:pPr>
      <w:tabs>
        <w:tab w:val="center" w:pos="4320"/>
        <w:tab w:val="right" w:pos="8640"/>
      </w:tabs>
    </w:pPr>
    <w:rPr>
      <w:rFonts w:ascii=".VnTime" w:eastAsia="Times New Roman" w:hAnsi=".VnTime"/>
      <w:color w:val="auto"/>
      <w:lang/>
    </w:rPr>
  </w:style>
  <w:style w:type="character" w:styleId="Shiutrang">
    <w:name w:val="page number"/>
    <w:basedOn w:val="Phngmcnhcaonvn"/>
    <w:rsid w:val="00E459F9"/>
  </w:style>
  <w:style w:type="paragraph" w:styleId="utrang">
    <w:name w:val="header"/>
    <w:basedOn w:val="Binhthng"/>
    <w:link w:val="utrangChar"/>
    <w:uiPriority w:val="99"/>
    <w:unhideWhenUsed/>
    <w:rsid w:val="00CA0A3C"/>
    <w:pPr>
      <w:tabs>
        <w:tab w:val="center" w:pos="4680"/>
        <w:tab w:val="right" w:pos="9360"/>
      </w:tabs>
    </w:pPr>
    <w:rPr>
      <w:rFonts w:ascii=".VnTime" w:eastAsia="Times New Roman" w:hAnsi=".VnTime"/>
      <w:color w:val="auto"/>
      <w:lang/>
    </w:rPr>
  </w:style>
  <w:style w:type="character" w:customStyle="1" w:styleId="utrangChar">
    <w:name w:val="Đầu trang Char"/>
    <w:link w:val="utrang"/>
    <w:uiPriority w:val="99"/>
    <w:rsid w:val="00CA0A3C"/>
    <w:rPr>
      <w:rFonts w:ascii=".VnTime" w:eastAsia="Times New Roman" w:hAnsi=".VnTime"/>
      <w:sz w:val="28"/>
      <w:szCs w:val="28"/>
    </w:rPr>
  </w:style>
  <w:style w:type="paragraph" w:styleId="Vnbanccch">
    <w:name w:val="footnote text"/>
    <w:aliases w:val="Footnote Text Char Char Char Char Char,Footnote Text Char Char Char Char Char Char Ch Char,Footnote Text Char Char Char Char Char Char Ch Char Char Char,Footnote Text Char Char Char Char Char Char Ch Char Char Char Char Char Char C,fn"/>
    <w:basedOn w:val="Binhthng"/>
    <w:link w:val="VnbanccchChar"/>
    <w:uiPriority w:val="99"/>
    <w:qFormat/>
    <w:rsid w:val="00C90C58"/>
    <w:rPr>
      <w:rFonts w:ascii=".VnTime" w:eastAsia="Times New Roman" w:hAnsi=".VnTime"/>
      <w:color w:val="auto"/>
      <w:sz w:val="20"/>
      <w:szCs w:val="20"/>
      <w:lang/>
    </w:rPr>
  </w:style>
  <w:style w:type="character" w:styleId="Siunikt">
    <w:name w:val="Hyperlink"/>
    <w:rsid w:val="00A910DC"/>
    <w:rPr>
      <w:color w:val="0000FF"/>
      <w:u w:val="single"/>
    </w:rPr>
  </w:style>
  <w:style w:type="character" w:customStyle="1" w:styleId="apple-converted-space">
    <w:name w:val="apple-converted-space"/>
    <w:rsid w:val="00A910DC"/>
  </w:style>
  <w:style w:type="character" w:styleId="Nhnmnh">
    <w:name w:val="Emphasis"/>
    <w:qFormat/>
    <w:rsid w:val="00A910DC"/>
    <w:rPr>
      <w:i/>
      <w:iCs/>
    </w:rPr>
  </w:style>
  <w:style w:type="character" w:styleId="Thamchiuccch">
    <w:name w:val="footnote reference"/>
    <w:aliases w:val="Ref,de nota al pie,Footnote,Footnote text,ftref,BearingPoint,16 Point,Superscript 6 Point,fr,Footnote Text1,f,Footnote + Arial,10 pt,Black,Footnote Text11,(NECG) Footnote Reference,BVI fnr,footnote ref,Footnote text + 13 pt,Re,SUPERS"/>
    <w:link w:val="FootnotetextChar1"/>
    <w:uiPriority w:val="99"/>
    <w:qFormat/>
    <w:rsid w:val="00A910DC"/>
    <w:rPr>
      <w:vertAlign w:val="superscript"/>
    </w:rPr>
  </w:style>
  <w:style w:type="character" w:customStyle="1" w:styleId="VnbanccchChar">
    <w:name w:val="Văn bản cước chú Char"/>
    <w:aliases w:val="Footnote Text Char Char Char Char Char Char,Footnote Text Char Char Char Char Char Char Ch Char Char,Footnote Text Char Char Char Char Char Char Ch Char Char Char Char,fn Char"/>
    <w:link w:val="Vnbanccch"/>
    <w:uiPriority w:val="99"/>
    <w:qFormat/>
    <w:rsid w:val="00A910DC"/>
    <w:rPr>
      <w:rFonts w:ascii=".VnTime" w:eastAsia="Times New Roman" w:hAnsi=".VnTime"/>
    </w:rPr>
  </w:style>
  <w:style w:type="character" w:customStyle="1" w:styleId="ChntrangChar">
    <w:name w:val="Chân trang Char"/>
    <w:link w:val="Chntrang"/>
    <w:uiPriority w:val="99"/>
    <w:rsid w:val="00225F2C"/>
    <w:rPr>
      <w:rFonts w:ascii=".VnTime" w:eastAsia="Times New Roman" w:hAnsi=".VnTime"/>
      <w:sz w:val="28"/>
      <w:szCs w:val="28"/>
    </w:rPr>
  </w:style>
  <w:style w:type="paragraph" w:styleId="Bngchthch">
    <w:name w:val="Balloon Text"/>
    <w:basedOn w:val="Binhthng"/>
    <w:link w:val="BngchthchChar"/>
    <w:uiPriority w:val="99"/>
    <w:semiHidden/>
    <w:unhideWhenUsed/>
    <w:rsid w:val="00651E7D"/>
    <w:rPr>
      <w:rFonts w:ascii="Segoe UI" w:eastAsia="Times New Roman" w:hAnsi="Segoe UI"/>
      <w:color w:val="auto"/>
      <w:sz w:val="18"/>
      <w:szCs w:val="18"/>
      <w:lang/>
    </w:rPr>
  </w:style>
  <w:style w:type="character" w:customStyle="1" w:styleId="BngchthchChar">
    <w:name w:val="Bóng chú thích Char"/>
    <w:link w:val="Bngchthch"/>
    <w:uiPriority w:val="99"/>
    <w:semiHidden/>
    <w:rsid w:val="00651E7D"/>
    <w:rPr>
      <w:rFonts w:ascii="Segoe UI" w:eastAsia="Times New Roman" w:hAnsi="Segoe UI" w:cs="Segoe UI"/>
      <w:sz w:val="18"/>
      <w:szCs w:val="18"/>
    </w:rPr>
  </w:style>
  <w:style w:type="character" w:customStyle="1" w:styleId="fontstyle01">
    <w:name w:val="fontstyle01"/>
    <w:rsid w:val="00F11C5B"/>
    <w:rPr>
      <w:rFonts w:ascii="Times New Roman" w:hAnsi="Times New Roman" w:cs="Times New Roman" w:hint="default"/>
      <w:b w:val="0"/>
      <w:bCs w:val="0"/>
      <w:i w:val="0"/>
      <w:iCs w:val="0"/>
      <w:color w:val="000000"/>
      <w:sz w:val="28"/>
      <w:szCs w:val="28"/>
    </w:rPr>
  </w:style>
  <w:style w:type="paragraph" w:styleId="oncaDanhsch">
    <w:name w:val="List Paragraph"/>
    <w:basedOn w:val="Binhthng"/>
    <w:uiPriority w:val="34"/>
    <w:qFormat/>
    <w:rsid w:val="00B55836"/>
    <w:pPr>
      <w:spacing w:line="324" w:lineRule="auto"/>
      <w:ind w:left="720"/>
      <w:contextualSpacing/>
    </w:pPr>
    <w:rPr>
      <w:color w:val="auto"/>
    </w:rPr>
  </w:style>
  <w:style w:type="paragraph" w:customStyle="1" w:styleId="Default">
    <w:name w:val="Default"/>
    <w:rsid w:val="00764BA5"/>
    <w:pPr>
      <w:autoSpaceDE w:val="0"/>
      <w:autoSpaceDN w:val="0"/>
      <w:adjustRightInd w:val="0"/>
    </w:pPr>
    <w:rPr>
      <w:color w:val="000000"/>
      <w:sz w:val="24"/>
      <w:szCs w:val="24"/>
    </w:rPr>
  </w:style>
  <w:style w:type="paragraph" w:customStyle="1" w:styleId="FootnotetextChar1">
    <w:name w:val="Footnote text Char1"/>
    <w:basedOn w:val="Binhthng"/>
    <w:link w:val="Thamchiuccch"/>
    <w:uiPriority w:val="99"/>
    <w:qFormat/>
    <w:rsid w:val="00097549"/>
    <w:pPr>
      <w:spacing w:after="160" w:line="240" w:lineRule="exact"/>
    </w:pPr>
    <w:rPr>
      <w:color w:val="auto"/>
      <w:sz w:val="20"/>
      <w:szCs w:val="20"/>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257">
      <w:bodyDiv w:val="1"/>
      <w:marLeft w:val="0"/>
      <w:marRight w:val="0"/>
      <w:marTop w:val="0"/>
      <w:marBottom w:val="0"/>
      <w:divBdr>
        <w:top w:val="none" w:sz="0" w:space="0" w:color="auto"/>
        <w:left w:val="none" w:sz="0" w:space="0" w:color="auto"/>
        <w:bottom w:val="none" w:sz="0" w:space="0" w:color="auto"/>
        <w:right w:val="none" w:sz="0" w:space="0" w:color="auto"/>
      </w:divBdr>
    </w:div>
    <w:div w:id="57826922">
      <w:bodyDiv w:val="1"/>
      <w:marLeft w:val="0"/>
      <w:marRight w:val="0"/>
      <w:marTop w:val="0"/>
      <w:marBottom w:val="0"/>
      <w:divBdr>
        <w:top w:val="none" w:sz="0" w:space="0" w:color="auto"/>
        <w:left w:val="none" w:sz="0" w:space="0" w:color="auto"/>
        <w:bottom w:val="none" w:sz="0" w:space="0" w:color="auto"/>
        <w:right w:val="none" w:sz="0" w:space="0" w:color="auto"/>
      </w:divBdr>
    </w:div>
    <w:div w:id="126245009">
      <w:bodyDiv w:val="1"/>
      <w:marLeft w:val="0"/>
      <w:marRight w:val="0"/>
      <w:marTop w:val="0"/>
      <w:marBottom w:val="0"/>
      <w:divBdr>
        <w:top w:val="none" w:sz="0" w:space="0" w:color="auto"/>
        <w:left w:val="none" w:sz="0" w:space="0" w:color="auto"/>
        <w:bottom w:val="none" w:sz="0" w:space="0" w:color="auto"/>
        <w:right w:val="none" w:sz="0" w:space="0" w:color="auto"/>
      </w:divBdr>
    </w:div>
    <w:div w:id="137191525">
      <w:bodyDiv w:val="1"/>
      <w:marLeft w:val="0"/>
      <w:marRight w:val="0"/>
      <w:marTop w:val="0"/>
      <w:marBottom w:val="0"/>
      <w:divBdr>
        <w:top w:val="none" w:sz="0" w:space="0" w:color="auto"/>
        <w:left w:val="none" w:sz="0" w:space="0" w:color="auto"/>
        <w:bottom w:val="none" w:sz="0" w:space="0" w:color="auto"/>
        <w:right w:val="none" w:sz="0" w:space="0" w:color="auto"/>
      </w:divBdr>
    </w:div>
    <w:div w:id="147870443">
      <w:bodyDiv w:val="1"/>
      <w:marLeft w:val="0"/>
      <w:marRight w:val="0"/>
      <w:marTop w:val="0"/>
      <w:marBottom w:val="0"/>
      <w:divBdr>
        <w:top w:val="none" w:sz="0" w:space="0" w:color="auto"/>
        <w:left w:val="none" w:sz="0" w:space="0" w:color="auto"/>
        <w:bottom w:val="none" w:sz="0" w:space="0" w:color="auto"/>
        <w:right w:val="none" w:sz="0" w:space="0" w:color="auto"/>
      </w:divBdr>
    </w:div>
    <w:div w:id="150997233">
      <w:bodyDiv w:val="1"/>
      <w:marLeft w:val="0"/>
      <w:marRight w:val="0"/>
      <w:marTop w:val="0"/>
      <w:marBottom w:val="0"/>
      <w:divBdr>
        <w:top w:val="none" w:sz="0" w:space="0" w:color="auto"/>
        <w:left w:val="none" w:sz="0" w:space="0" w:color="auto"/>
        <w:bottom w:val="none" w:sz="0" w:space="0" w:color="auto"/>
        <w:right w:val="none" w:sz="0" w:space="0" w:color="auto"/>
      </w:divBdr>
    </w:div>
    <w:div w:id="406923075">
      <w:bodyDiv w:val="1"/>
      <w:marLeft w:val="0"/>
      <w:marRight w:val="0"/>
      <w:marTop w:val="0"/>
      <w:marBottom w:val="0"/>
      <w:divBdr>
        <w:top w:val="none" w:sz="0" w:space="0" w:color="auto"/>
        <w:left w:val="none" w:sz="0" w:space="0" w:color="auto"/>
        <w:bottom w:val="none" w:sz="0" w:space="0" w:color="auto"/>
        <w:right w:val="none" w:sz="0" w:space="0" w:color="auto"/>
      </w:divBdr>
    </w:div>
    <w:div w:id="429667676">
      <w:bodyDiv w:val="1"/>
      <w:marLeft w:val="0"/>
      <w:marRight w:val="0"/>
      <w:marTop w:val="0"/>
      <w:marBottom w:val="0"/>
      <w:divBdr>
        <w:top w:val="none" w:sz="0" w:space="0" w:color="auto"/>
        <w:left w:val="none" w:sz="0" w:space="0" w:color="auto"/>
        <w:bottom w:val="none" w:sz="0" w:space="0" w:color="auto"/>
        <w:right w:val="none" w:sz="0" w:space="0" w:color="auto"/>
      </w:divBdr>
    </w:div>
    <w:div w:id="557521796">
      <w:bodyDiv w:val="1"/>
      <w:marLeft w:val="0"/>
      <w:marRight w:val="0"/>
      <w:marTop w:val="0"/>
      <w:marBottom w:val="0"/>
      <w:divBdr>
        <w:top w:val="none" w:sz="0" w:space="0" w:color="auto"/>
        <w:left w:val="none" w:sz="0" w:space="0" w:color="auto"/>
        <w:bottom w:val="none" w:sz="0" w:space="0" w:color="auto"/>
        <w:right w:val="none" w:sz="0" w:space="0" w:color="auto"/>
      </w:divBdr>
    </w:div>
    <w:div w:id="643656495">
      <w:bodyDiv w:val="1"/>
      <w:marLeft w:val="0"/>
      <w:marRight w:val="0"/>
      <w:marTop w:val="0"/>
      <w:marBottom w:val="0"/>
      <w:divBdr>
        <w:top w:val="none" w:sz="0" w:space="0" w:color="auto"/>
        <w:left w:val="none" w:sz="0" w:space="0" w:color="auto"/>
        <w:bottom w:val="none" w:sz="0" w:space="0" w:color="auto"/>
        <w:right w:val="none" w:sz="0" w:space="0" w:color="auto"/>
      </w:divBdr>
    </w:div>
    <w:div w:id="680396159">
      <w:bodyDiv w:val="1"/>
      <w:marLeft w:val="0"/>
      <w:marRight w:val="0"/>
      <w:marTop w:val="0"/>
      <w:marBottom w:val="0"/>
      <w:divBdr>
        <w:top w:val="none" w:sz="0" w:space="0" w:color="auto"/>
        <w:left w:val="none" w:sz="0" w:space="0" w:color="auto"/>
        <w:bottom w:val="none" w:sz="0" w:space="0" w:color="auto"/>
        <w:right w:val="none" w:sz="0" w:space="0" w:color="auto"/>
      </w:divBdr>
    </w:div>
    <w:div w:id="709183477">
      <w:bodyDiv w:val="1"/>
      <w:marLeft w:val="0"/>
      <w:marRight w:val="0"/>
      <w:marTop w:val="0"/>
      <w:marBottom w:val="0"/>
      <w:divBdr>
        <w:top w:val="none" w:sz="0" w:space="0" w:color="auto"/>
        <w:left w:val="none" w:sz="0" w:space="0" w:color="auto"/>
        <w:bottom w:val="none" w:sz="0" w:space="0" w:color="auto"/>
        <w:right w:val="none" w:sz="0" w:space="0" w:color="auto"/>
      </w:divBdr>
    </w:div>
    <w:div w:id="716782874">
      <w:bodyDiv w:val="1"/>
      <w:marLeft w:val="0"/>
      <w:marRight w:val="0"/>
      <w:marTop w:val="0"/>
      <w:marBottom w:val="0"/>
      <w:divBdr>
        <w:top w:val="none" w:sz="0" w:space="0" w:color="auto"/>
        <w:left w:val="none" w:sz="0" w:space="0" w:color="auto"/>
        <w:bottom w:val="none" w:sz="0" w:space="0" w:color="auto"/>
        <w:right w:val="none" w:sz="0" w:space="0" w:color="auto"/>
      </w:divBdr>
    </w:div>
    <w:div w:id="717434269">
      <w:bodyDiv w:val="1"/>
      <w:marLeft w:val="0"/>
      <w:marRight w:val="0"/>
      <w:marTop w:val="0"/>
      <w:marBottom w:val="0"/>
      <w:divBdr>
        <w:top w:val="none" w:sz="0" w:space="0" w:color="auto"/>
        <w:left w:val="none" w:sz="0" w:space="0" w:color="auto"/>
        <w:bottom w:val="none" w:sz="0" w:space="0" w:color="auto"/>
        <w:right w:val="none" w:sz="0" w:space="0" w:color="auto"/>
      </w:divBdr>
    </w:div>
    <w:div w:id="869219733">
      <w:bodyDiv w:val="1"/>
      <w:marLeft w:val="0"/>
      <w:marRight w:val="0"/>
      <w:marTop w:val="0"/>
      <w:marBottom w:val="0"/>
      <w:divBdr>
        <w:top w:val="none" w:sz="0" w:space="0" w:color="auto"/>
        <w:left w:val="none" w:sz="0" w:space="0" w:color="auto"/>
        <w:bottom w:val="none" w:sz="0" w:space="0" w:color="auto"/>
        <w:right w:val="none" w:sz="0" w:space="0" w:color="auto"/>
      </w:divBdr>
    </w:div>
    <w:div w:id="879127810">
      <w:bodyDiv w:val="1"/>
      <w:marLeft w:val="0"/>
      <w:marRight w:val="0"/>
      <w:marTop w:val="0"/>
      <w:marBottom w:val="0"/>
      <w:divBdr>
        <w:top w:val="none" w:sz="0" w:space="0" w:color="auto"/>
        <w:left w:val="none" w:sz="0" w:space="0" w:color="auto"/>
        <w:bottom w:val="none" w:sz="0" w:space="0" w:color="auto"/>
        <w:right w:val="none" w:sz="0" w:space="0" w:color="auto"/>
      </w:divBdr>
    </w:div>
    <w:div w:id="932517181">
      <w:bodyDiv w:val="1"/>
      <w:marLeft w:val="0"/>
      <w:marRight w:val="0"/>
      <w:marTop w:val="0"/>
      <w:marBottom w:val="0"/>
      <w:divBdr>
        <w:top w:val="none" w:sz="0" w:space="0" w:color="auto"/>
        <w:left w:val="none" w:sz="0" w:space="0" w:color="auto"/>
        <w:bottom w:val="none" w:sz="0" w:space="0" w:color="auto"/>
        <w:right w:val="none" w:sz="0" w:space="0" w:color="auto"/>
      </w:divBdr>
    </w:div>
    <w:div w:id="976568122">
      <w:bodyDiv w:val="1"/>
      <w:marLeft w:val="0"/>
      <w:marRight w:val="0"/>
      <w:marTop w:val="0"/>
      <w:marBottom w:val="0"/>
      <w:divBdr>
        <w:top w:val="none" w:sz="0" w:space="0" w:color="auto"/>
        <w:left w:val="none" w:sz="0" w:space="0" w:color="auto"/>
        <w:bottom w:val="none" w:sz="0" w:space="0" w:color="auto"/>
        <w:right w:val="none" w:sz="0" w:space="0" w:color="auto"/>
      </w:divBdr>
    </w:div>
    <w:div w:id="1012952836">
      <w:bodyDiv w:val="1"/>
      <w:marLeft w:val="0"/>
      <w:marRight w:val="0"/>
      <w:marTop w:val="0"/>
      <w:marBottom w:val="0"/>
      <w:divBdr>
        <w:top w:val="none" w:sz="0" w:space="0" w:color="auto"/>
        <w:left w:val="none" w:sz="0" w:space="0" w:color="auto"/>
        <w:bottom w:val="none" w:sz="0" w:space="0" w:color="auto"/>
        <w:right w:val="none" w:sz="0" w:space="0" w:color="auto"/>
      </w:divBdr>
    </w:div>
    <w:div w:id="1039626501">
      <w:bodyDiv w:val="1"/>
      <w:marLeft w:val="0"/>
      <w:marRight w:val="0"/>
      <w:marTop w:val="0"/>
      <w:marBottom w:val="0"/>
      <w:divBdr>
        <w:top w:val="none" w:sz="0" w:space="0" w:color="auto"/>
        <w:left w:val="none" w:sz="0" w:space="0" w:color="auto"/>
        <w:bottom w:val="none" w:sz="0" w:space="0" w:color="auto"/>
        <w:right w:val="none" w:sz="0" w:space="0" w:color="auto"/>
      </w:divBdr>
    </w:div>
    <w:div w:id="1062750547">
      <w:bodyDiv w:val="1"/>
      <w:marLeft w:val="0"/>
      <w:marRight w:val="0"/>
      <w:marTop w:val="0"/>
      <w:marBottom w:val="0"/>
      <w:divBdr>
        <w:top w:val="none" w:sz="0" w:space="0" w:color="auto"/>
        <w:left w:val="none" w:sz="0" w:space="0" w:color="auto"/>
        <w:bottom w:val="none" w:sz="0" w:space="0" w:color="auto"/>
        <w:right w:val="none" w:sz="0" w:space="0" w:color="auto"/>
      </w:divBdr>
    </w:div>
    <w:div w:id="1116943747">
      <w:bodyDiv w:val="1"/>
      <w:marLeft w:val="0"/>
      <w:marRight w:val="0"/>
      <w:marTop w:val="0"/>
      <w:marBottom w:val="0"/>
      <w:divBdr>
        <w:top w:val="none" w:sz="0" w:space="0" w:color="auto"/>
        <w:left w:val="none" w:sz="0" w:space="0" w:color="auto"/>
        <w:bottom w:val="none" w:sz="0" w:space="0" w:color="auto"/>
        <w:right w:val="none" w:sz="0" w:space="0" w:color="auto"/>
      </w:divBdr>
    </w:div>
    <w:div w:id="1119832746">
      <w:bodyDiv w:val="1"/>
      <w:marLeft w:val="0"/>
      <w:marRight w:val="0"/>
      <w:marTop w:val="0"/>
      <w:marBottom w:val="0"/>
      <w:divBdr>
        <w:top w:val="none" w:sz="0" w:space="0" w:color="auto"/>
        <w:left w:val="none" w:sz="0" w:space="0" w:color="auto"/>
        <w:bottom w:val="none" w:sz="0" w:space="0" w:color="auto"/>
        <w:right w:val="none" w:sz="0" w:space="0" w:color="auto"/>
      </w:divBdr>
    </w:div>
    <w:div w:id="1132211634">
      <w:bodyDiv w:val="1"/>
      <w:marLeft w:val="0"/>
      <w:marRight w:val="0"/>
      <w:marTop w:val="0"/>
      <w:marBottom w:val="0"/>
      <w:divBdr>
        <w:top w:val="none" w:sz="0" w:space="0" w:color="auto"/>
        <w:left w:val="none" w:sz="0" w:space="0" w:color="auto"/>
        <w:bottom w:val="none" w:sz="0" w:space="0" w:color="auto"/>
        <w:right w:val="none" w:sz="0" w:space="0" w:color="auto"/>
      </w:divBdr>
    </w:div>
    <w:div w:id="1222867937">
      <w:bodyDiv w:val="1"/>
      <w:marLeft w:val="0"/>
      <w:marRight w:val="0"/>
      <w:marTop w:val="0"/>
      <w:marBottom w:val="0"/>
      <w:divBdr>
        <w:top w:val="none" w:sz="0" w:space="0" w:color="auto"/>
        <w:left w:val="none" w:sz="0" w:space="0" w:color="auto"/>
        <w:bottom w:val="none" w:sz="0" w:space="0" w:color="auto"/>
        <w:right w:val="none" w:sz="0" w:space="0" w:color="auto"/>
      </w:divBdr>
    </w:div>
    <w:div w:id="1262254389">
      <w:bodyDiv w:val="1"/>
      <w:marLeft w:val="0"/>
      <w:marRight w:val="0"/>
      <w:marTop w:val="0"/>
      <w:marBottom w:val="0"/>
      <w:divBdr>
        <w:top w:val="none" w:sz="0" w:space="0" w:color="auto"/>
        <w:left w:val="none" w:sz="0" w:space="0" w:color="auto"/>
        <w:bottom w:val="none" w:sz="0" w:space="0" w:color="auto"/>
        <w:right w:val="none" w:sz="0" w:space="0" w:color="auto"/>
      </w:divBdr>
    </w:div>
    <w:div w:id="1285035471">
      <w:bodyDiv w:val="1"/>
      <w:marLeft w:val="0"/>
      <w:marRight w:val="0"/>
      <w:marTop w:val="0"/>
      <w:marBottom w:val="0"/>
      <w:divBdr>
        <w:top w:val="none" w:sz="0" w:space="0" w:color="auto"/>
        <w:left w:val="none" w:sz="0" w:space="0" w:color="auto"/>
        <w:bottom w:val="none" w:sz="0" w:space="0" w:color="auto"/>
        <w:right w:val="none" w:sz="0" w:space="0" w:color="auto"/>
      </w:divBdr>
    </w:div>
    <w:div w:id="1299186116">
      <w:bodyDiv w:val="1"/>
      <w:marLeft w:val="0"/>
      <w:marRight w:val="0"/>
      <w:marTop w:val="0"/>
      <w:marBottom w:val="0"/>
      <w:divBdr>
        <w:top w:val="none" w:sz="0" w:space="0" w:color="auto"/>
        <w:left w:val="none" w:sz="0" w:space="0" w:color="auto"/>
        <w:bottom w:val="none" w:sz="0" w:space="0" w:color="auto"/>
        <w:right w:val="none" w:sz="0" w:space="0" w:color="auto"/>
      </w:divBdr>
    </w:div>
    <w:div w:id="1419712109">
      <w:bodyDiv w:val="1"/>
      <w:marLeft w:val="0"/>
      <w:marRight w:val="0"/>
      <w:marTop w:val="0"/>
      <w:marBottom w:val="0"/>
      <w:divBdr>
        <w:top w:val="none" w:sz="0" w:space="0" w:color="auto"/>
        <w:left w:val="none" w:sz="0" w:space="0" w:color="auto"/>
        <w:bottom w:val="none" w:sz="0" w:space="0" w:color="auto"/>
        <w:right w:val="none" w:sz="0" w:space="0" w:color="auto"/>
      </w:divBdr>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
    <w:div w:id="1459101135">
      <w:bodyDiv w:val="1"/>
      <w:marLeft w:val="0"/>
      <w:marRight w:val="0"/>
      <w:marTop w:val="0"/>
      <w:marBottom w:val="0"/>
      <w:divBdr>
        <w:top w:val="none" w:sz="0" w:space="0" w:color="auto"/>
        <w:left w:val="none" w:sz="0" w:space="0" w:color="auto"/>
        <w:bottom w:val="none" w:sz="0" w:space="0" w:color="auto"/>
        <w:right w:val="none" w:sz="0" w:space="0" w:color="auto"/>
      </w:divBdr>
    </w:div>
    <w:div w:id="1472333388">
      <w:bodyDiv w:val="1"/>
      <w:marLeft w:val="0"/>
      <w:marRight w:val="0"/>
      <w:marTop w:val="0"/>
      <w:marBottom w:val="0"/>
      <w:divBdr>
        <w:top w:val="none" w:sz="0" w:space="0" w:color="auto"/>
        <w:left w:val="none" w:sz="0" w:space="0" w:color="auto"/>
        <w:bottom w:val="none" w:sz="0" w:space="0" w:color="auto"/>
        <w:right w:val="none" w:sz="0" w:space="0" w:color="auto"/>
      </w:divBdr>
    </w:div>
    <w:div w:id="1540244781">
      <w:bodyDiv w:val="1"/>
      <w:marLeft w:val="0"/>
      <w:marRight w:val="0"/>
      <w:marTop w:val="0"/>
      <w:marBottom w:val="0"/>
      <w:divBdr>
        <w:top w:val="none" w:sz="0" w:space="0" w:color="auto"/>
        <w:left w:val="none" w:sz="0" w:space="0" w:color="auto"/>
        <w:bottom w:val="none" w:sz="0" w:space="0" w:color="auto"/>
        <w:right w:val="none" w:sz="0" w:space="0" w:color="auto"/>
      </w:divBdr>
    </w:div>
    <w:div w:id="1549873581">
      <w:bodyDiv w:val="1"/>
      <w:marLeft w:val="0"/>
      <w:marRight w:val="0"/>
      <w:marTop w:val="0"/>
      <w:marBottom w:val="0"/>
      <w:divBdr>
        <w:top w:val="none" w:sz="0" w:space="0" w:color="auto"/>
        <w:left w:val="none" w:sz="0" w:space="0" w:color="auto"/>
        <w:bottom w:val="none" w:sz="0" w:space="0" w:color="auto"/>
        <w:right w:val="none" w:sz="0" w:space="0" w:color="auto"/>
      </w:divBdr>
    </w:div>
    <w:div w:id="1587618494">
      <w:bodyDiv w:val="1"/>
      <w:marLeft w:val="0"/>
      <w:marRight w:val="0"/>
      <w:marTop w:val="0"/>
      <w:marBottom w:val="0"/>
      <w:divBdr>
        <w:top w:val="none" w:sz="0" w:space="0" w:color="auto"/>
        <w:left w:val="none" w:sz="0" w:space="0" w:color="auto"/>
        <w:bottom w:val="none" w:sz="0" w:space="0" w:color="auto"/>
        <w:right w:val="none" w:sz="0" w:space="0" w:color="auto"/>
      </w:divBdr>
    </w:div>
    <w:div w:id="1591308900">
      <w:bodyDiv w:val="1"/>
      <w:marLeft w:val="0"/>
      <w:marRight w:val="0"/>
      <w:marTop w:val="0"/>
      <w:marBottom w:val="0"/>
      <w:divBdr>
        <w:top w:val="none" w:sz="0" w:space="0" w:color="auto"/>
        <w:left w:val="none" w:sz="0" w:space="0" w:color="auto"/>
        <w:bottom w:val="none" w:sz="0" w:space="0" w:color="auto"/>
        <w:right w:val="none" w:sz="0" w:space="0" w:color="auto"/>
      </w:divBdr>
    </w:div>
    <w:div w:id="1690136756">
      <w:bodyDiv w:val="1"/>
      <w:marLeft w:val="0"/>
      <w:marRight w:val="0"/>
      <w:marTop w:val="0"/>
      <w:marBottom w:val="0"/>
      <w:divBdr>
        <w:top w:val="none" w:sz="0" w:space="0" w:color="auto"/>
        <w:left w:val="none" w:sz="0" w:space="0" w:color="auto"/>
        <w:bottom w:val="none" w:sz="0" w:space="0" w:color="auto"/>
        <w:right w:val="none" w:sz="0" w:space="0" w:color="auto"/>
      </w:divBdr>
    </w:div>
    <w:div w:id="1862013492">
      <w:bodyDiv w:val="1"/>
      <w:marLeft w:val="0"/>
      <w:marRight w:val="0"/>
      <w:marTop w:val="0"/>
      <w:marBottom w:val="0"/>
      <w:divBdr>
        <w:top w:val="none" w:sz="0" w:space="0" w:color="auto"/>
        <w:left w:val="none" w:sz="0" w:space="0" w:color="auto"/>
        <w:bottom w:val="none" w:sz="0" w:space="0" w:color="auto"/>
        <w:right w:val="none" w:sz="0" w:space="0" w:color="auto"/>
      </w:divBdr>
    </w:div>
    <w:div w:id="1871839377">
      <w:bodyDiv w:val="1"/>
      <w:marLeft w:val="0"/>
      <w:marRight w:val="0"/>
      <w:marTop w:val="0"/>
      <w:marBottom w:val="0"/>
      <w:divBdr>
        <w:top w:val="none" w:sz="0" w:space="0" w:color="auto"/>
        <w:left w:val="none" w:sz="0" w:space="0" w:color="auto"/>
        <w:bottom w:val="none" w:sz="0" w:space="0" w:color="auto"/>
        <w:right w:val="none" w:sz="0" w:space="0" w:color="auto"/>
      </w:divBdr>
    </w:div>
    <w:div w:id="1872836130">
      <w:bodyDiv w:val="1"/>
      <w:marLeft w:val="0"/>
      <w:marRight w:val="0"/>
      <w:marTop w:val="0"/>
      <w:marBottom w:val="0"/>
      <w:divBdr>
        <w:top w:val="none" w:sz="0" w:space="0" w:color="auto"/>
        <w:left w:val="none" w:sz="0" w:space="0" w:color="auto"/>
        <w:bottom w:val="none" w:sz="0" w:space="0" w:color="auto"/>
        <w:right w:val="none" w:sz="0" w:space="0" w:color="auto"/>
      </w:divBdr>
    </w:div>
    <w:div w:id="1882671497">
      <w:bodyDiv w:val="1"/>
      <w:marLeft w:val="0"/>
      <w:marRight w:val="0"/>
      <w:marTop w:val="0"/>
      <w:marBottom w:val="0"/>
      <w:divBdr>
        <w:top w:val="none" w:sz="0" w:space="0" w:color="auto"/>
        <w:left w:val="none" w:sz="0" w:space="0" w:color="auto"/>
        <w:bottom w:val="none" w:sz="0" w:space="0" w:color="auto"/>
        <w:right w:val="none" w:sz="0" w:space="0" w:color="auto"/>
      </w:divBdr>
    </w:div>
    <w:div w:id="1905136232">
      <w:bodyDiv w:val="1"/>
      <w:marLeft w:val="0"/>
      <w:marRight w:val="0"/>
      <w:marTop w:val="0"/>
      <w:marBottom w:val="0"/>
      <w:divBdr>
        <w:top w:val="none" w:sz="0" w:space="0" w:color="auto"/>
        <w:left w:val="none" w:sz="0" w:space="0" w:color="auto"/>
        <w:bottom w:val="none" w:sz="0" w:space="0" w:color="auto"/>
        <w:right w:val="none" w:sz="0" w:space="0" w:color="auto"/>
      </w:divBdr>
    </w:div>
    <w:div w:id="1946307850">
      <w:bodyDiv w:val="1"/>
      <w:marLeft w:val="0"/>
      <w:marRight w:val="0"/>
      <w:marTop w:val="0"/>
      <w:marBottom w:val="0"/>
      <w:divBdr>
        <w:top w:val="none" w:sz="0" w:space="0" w:color="auto"/>
        <w:left w:val="none" w:sz="0" w:space="0" w:color="auto"/>
        <w:bottom w:val="none" w:sz="0" w:space="0" w:color="auto"/>
        <w:right w:val="none" w:sz="0" w:space="0" w:color="auto"/>
      </w:divBdr>
    </w:div>
    <w:div w:id="2088114237">
      <w:bodyDiv w:val="1"/>
      <w:marLeft w:val="0"/>
      <w:marRight w:val="0"/>
      <w:marTop w:val="0"/>
      <w:marBottom w:val="0"/>
      <w:divBdr>
        <w:top w:val="none" w:sz="0" w:space="0" w:color="auto"/>
        <w:left w:val="none" w:sz="0" w:space="0" w:color="auto"/>
        <w:bottom w:val="none" w:sz="0" w:space="0" w:color="auto"/>
        <w:right w:val="none" w:sz="0" w:space="0" w:color="auto"/>
      </w:divBdr>
    </w:div>
    <w:div w:id="211933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i.wikipedia.org/wiki/La_Hi%C3%AAn" TargetMode="External"/><Relationship Id="rId4" Type="http://schemas.microsoft.com/office/2007/relationships/stylesWithEffects" Target="stylesWithEffects.xml"/><Relationship Id="rId9" Type="http://schemas.openxmlformats.org/officeDocument/2006/relationships/hyperlink" Target="https://vi.wikipedia.org/wiki/Tam_%C4%90%E1%BA%A3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358B4-040D-4916-A80E-6FC7BD75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4044</Words>
  <Characters>23054</Characters>
  <Application>Microsoft Office Word</Application>
  <DocSecurity>0</DocSecurity>
  <Lines>192</Lines>
  <Paragraphs>54</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UBND TỈNH LẠNG SƠN</vt:lpstr>
      <vt:lpstr>UBND TỈNH LẠNG SƠN</vt:lpstr>
    </vt:vector>
  </TitlesOfParts>
  <Company>home</Company>
  <LinksUpToDate>false</LinksUpToDate>
  <CharactersWithSpaces>27044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LẠNG SƠN</dc:title>
  <dc:creator>ismail - [2010]</dc:creator>
  <cp:lastModifiedBy>ADMIN</cp:lastModifiedBy>
  <cp:revision>2</cp:revision>
  <cp:lastPrinted>2025-10-30T01:48:00Z</cp:lastPrinted>
  <dcterms:created xsi:type="dcterms:W3CDTF">2026-06-28T09:35:00Z</dcterms:created>
  <dcterms:modified xsi:type="dcterms:W3CDTF">2026-06-28T09:35:00Z</dcterms:modified>
</cp:coreProperties>
</file>